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A8CD" w14:textId="77777777" w:rsidR="00BF7879" w:rsidRDefault="00BF7879">
      <w:pPr>
        <w:tabs>
          <w:tab w:val="right" w:leader="dot" w:pos="8280"/>
        </w:tabs>
        <w:jc w:val="center"/>
        <w:rPr>
          <w:rFonts w:ascii="Arial" w:hAnsi="Arial"/>
          <w:sz w:val="22"/>
        </w:rPr>
      </w:pPr>
    </w:p>
    <w:p w14:paraId="563277D8" w14:textId="77777777" w:rsidR="00BF7879" w:rsidRDefault="00BF7879">
      <w:pPr>
        <w:tabs>
          <w:tab w:val="right" w:leader="dot" w:pos="8280"/>
        </w:tabs>
        <w:jc w:val="center"/>
        <w:rPr>
          <w:rFonts w:ascii="Arial" w:hAnsi="Arial"/>
          <w:sz w:val="22"/>
        </w:rPr>
      </w:pPr>
    </w:p>
    <w:p w14:paraId="692C87B9" w14:textId="77777777" w:rsidR="00BF7879" w:rsidRDefault="00BF7879">
      <w:pPr>
        <w:tabs>
          <w:tab w:val="right" w:leader="dot" w:pos="8280"/>
        </w:tabs>
        <w:jc w:val="center"/>
        <w:rPr>
          <w:rFonts w:ascii="Arial" w:hAnsi="Arial"/>
          <w:sz w:val="22"/>
        </w:rPr>
      </w:pPr>
    </w:p>
    <w:p w14:paraId="6C5FBC17" w14:textId="77777777" w:rsidR="00BF7879" w:rsidRDefault="00BF7879">
      <w:pPr>
        <w:tabs>
          <w:tab w:val="right" w:leader="dot" w:pos="8280"/>
        </w:tabs>
        <w:jc w:val="center"/>
        <w:rPr>
          <w:rFonts w:ascii="Arial" w:hAnsi="Arial"/>
          <w:sz w:val="22"/>
        </w:rPr>
      </w:pPr>
    </w:p>
    <w:p w14:paraId="2FBFB02C" w14:textId="77777777" w:rsidR="00BF7879" w:rsidRDefault="00BF7879">
      <w:pPr>
        <w:tabs>
          <w:tab w:val="right" w:leader="dot" w:pos="8280"/>
        </w:tabs>
        <w:jc w:val="center"/>
        <w:rPr>
          <w:rFonts w:ascii="Arial" w:hAnsi="Arial"/>
          <w:sz w:val="22"/>
        </w:rPr>
      </w:pPr>
    </w:p>
    <w:p w14:paraId="67D65E86" w14:textId="77777777" w:rsidR="00BF7879" w:rsidRDefault="00BF7879">
      <w:pPr>
        <w:tabs>
          <w:tab w:val="right" w:leader="dot" w:pos="8280"/>
        </w:tabs>
        <w:jc w:val="center"/>
        <w:rPr>
          <w:rFonts w:ascii="Arial" w:hAnsi="Arial"/>
          <w:sz w:val="22"/>
        </w:rPr>
      </w:pPr>
    </w:p>
    <w:p w14:paraId="25F53304" w14:textId="77777777" w:rsidR="00BF7879" w:rsidRDefault="00BF7879">
      <w:pPr>
        <w:tabs>
          <w:tab w:val="right" w:leader="dot" w:pos="8280"/>
        </w:tabs>
        <w:jc w:val="center"/>
        <w:rPr>
          <w:rFonts w:ascii="Arial" w:hAnsi="Arial"/>
          <w:sz w:val="22"/>
        </w:rPr>
      </w:pPr>
    </w:p>
    <w:p w14:paraId="4AB2EF5A" w14:textId="77777777" w:rsidR="00BF7879" w:rsidRDefault="00BF7879">
      <w:pPr>
        <w:tabs>
          <w:tab w:val="right" w:leader="dot" w:pos="8280"/>
        </w:tabs>
        <w:jc w:val="center"/>
        <w:rPr>
          <w:rFonts w:ascii="Arial" w:hAnsi="Arial"/>
          <w:sz w:val="22"/>
        </w:rPr>
      </w:pPr>
    </w:p>
    <w:p w14:paraId="4D9533CD" w14:textId="77777777" w:rsidR="00BF7879" w:rsidRDefault="00BF7879">
      <w:pPr>
        <w:pStyle w:val="Heading4"/>
        <w:jc w:val="left"/>
      </w:pPr>
    </w:p>
    <w:p w14:paraId="6FF10CB9" w14:textId="77777777" w:rsidR="00BF7879" w:rsidRDefault="00BF7879">
      <w:pPr>
        <w:pStyle w:val="Heading4"/>
        <w:jc w:val="left"/>
        <w:rPr>
          <w:noProof/>
        </w:rPr>
      </w:pPr>
      <w:r>
        <w:t>Definitions of Terms</w:t>
      </w:r>
    </w:p>
    <w:p w14:paraId="0D81F977" w14:textId="77777777" w:rsidR="00BF7879" w:rsidRDefault="00BF7879">
      <w:pPr>
        <w:pStyle w:val="Heading4"/>
        <w:rPr>
          <w:noProof/>
          <w:sz w:val="28"/>
        </w:rPr>
      </w:pPr>
      <w:r>
        <w:rPr>
          <w:noProof/>
        </w:rPr>
        <w:br w:type="page"/>
      </w:r>
    </w:p>
    <w:p w14:paraId="4E4BFF34" w14:textId="77777777" w:rsidR="00BF7879" w:rsidRDefault="00BF7879"/>
    <w:p w14:paraId="548A57D7" w14:textId="77777777" w:rsidR="00BF7879" w:rsidRDefault="00BF7879">
      <w:pPr>
        <w:jc w:val="center"/>
        <w:rPr>
          <w:rFonts w:ascii="Arial" w:hAnsi="Arial"/>
          <w:b/>
          <w:bCs/>
          <w:noProof/>
          <w:sz w:val="22"/>
        </w:rPr>
      </w:pPr>
      <w:r>
        <w:rPr>
          <w:rFonts w:ascii="Arial" w:hAnsi="Arial"/>
          <w:b/>
          <w:bCs/>
          <w:noProof/>
          <w:sz w:val="22"/>
        </w:rPr>
        <w:t xml:space="preserve">Definitions of Terms </w:t>
      </w:r>
    </w:p>
    <w:p w14:paraId="5A58A6CD" w14:textId="77777777" w:rsidR="00BF7879" w:rsidRDefault="00BF7879">
      <w:pPr>
        <w:jc w:val="center"/>
        <w:rPr>
          <w:rFonts w:ascii="Arial" w:hAnsi="Arial"/>
          <w:b/>
          <w:bCs/>
          <w:noProof/>
          <w:sz w:val="22"/>
        </w:rPr>
      </w:pPr>
      <w:r>
        <w:rPr>
          <w:rFonts w:ascii="Arial" w:hAnsi="Arial"/>
          <w:b/>
          <w:bCs/>
          <w:noProof/>
          <w:sz w:val="22"/>
        </w:rPr>
        <w:t>Used in Reviewing Research</w:t>
      </w:r>
    </w:p>
    <w:p w14:paraId="1603DC32" w14:textId="77777777" w:rsidR="00BF7879" w:rsidRDefault="00BF7879">
      <w:pPr>
        <w:pStyle w:val="Heading5"/>
        <w:rPr>
          <w:rFonts w:ascii="Arial" w:hAnsi="Arial"/>
          <w:bCs/>
          <w:noProof/>
        </w:rPr>
      </w:pPr>
      <w:r>
        <w:rPr>
          <w:rFonts w:ascii="Arial" w:hAnsi="Arial"/>
          <w:bCs/>
          <w:noProof/>
        </w:rPr>
        <w:t>Involving Human Subjects</w:t>
      </w:r>
    </w:p>
    <w:p w14:paraId="2D2315D9" w14:textId="77777777" w:rsidR="00BF7879" w:rsidRDefault="00BF7879">
      <w:pPr>
        <w:jc w:val="center"/>
        <w:rPr>
          <w:rFonts w:ascii="Arial" w:hAnsi="Arial"/>
          <w:noProof/>
          <w:sz w:val="22"/>
        </w:rPr>
      </w:pPr>
    </w:p>
    <w:p w14:paraId="3609FBB3" w14:textId="77777777" w:rsidR="00BF7879" w:rsidRDefault="00BF7879">
      <w:pPr>
        <w:rPr>
          <w:rFonts w:ascii="Arial" w:hAnsi="Arial"/>
          <w:noProof/>
          <w:sz w:val="22"/>
        </w:rPr>
      </w:pPr>
    </w:p>
    <w:p w14:paraId="3809E203"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Assent</w:t>
      </w:r>
      <w:r w:rsidRPr="00F67D99">
        <w:rPr>
          <w:rFonts w:ascii="Arial" w:hAnsi="Arial" w:cs="Arial"/>
          <w:noProof/>
          <w:sz w:val="22"/>
          <w:szCs w:val="22"/>
        </w:rPr>
        <w:t xml:space="preserve"> – affirmative agreement to participate in research.  Mere failure to object should not be construed as assent.</w:t>
      </w:r>
    </w:p>
    <w:p w14:paraId="6E305AB7" w14:textId="77777777" w:rsidR="00BF7879" w:rsidRPr="00F67D99" w:rsidRDefault="00BF7879" w:rsidP="00927170">
      <w:pPr>
        <w:pStyle w:val="Header"/>
        <w:tabs>
          <w:tab w:val="clear" w:pos="4320"/>
          <w:tab w:val="clear" w:pos="8640"/>
        </w:tabs>
        <w:ind w:hanging="450"/>
        <w:rPr>
          <w:rFonts w:ascii="Arial" w:hAnsi="Arial" w:cs="Arial"/>
          <w:noProof/>
          <w:sz w:val="22"/>
          <w:szCs w:val="22"/>
        </w:rPr>
      </w:pPr>
    </w:p>
    <w:p w14:paraId="5014FF36" w14:textId="77777777" w:rsidR="00147083"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Engaged in Research</w:t>
      </w:r>
      <w:r w:rsidRPr="00F67D99">
        <w:rPr>
          <w:rFonts w:ascii="Arial" w:hAnsi="Arial" w:cs="Arial"/>
          <w:noProof/>
          <w:sz w:val="22"/>
          <w:szCs w:val="22"/>
        </w:rPr>
        <w:t xml:space="preserve"> – institutions are “engaged” in human research whenever their employees or agents a) intervene or interact with living individuals for research purposes; or b) obtain, release, or access individually identifiable private information for research purposes.  Any institution that receives an award from the Department of Health and Human Services to support human subjects research is automatically considered to be “engaged” in such research, even where all activities involving human subjects are carried out by a subcontractor or collaborator. </w:t>
      </w:r>
    </w:p>
    <w:p w14:paraId="508FA7A3" w14:textId="77777777" w:rsidR="00147083" w:rsidRPr="00F67D99" w:rsidRDefault="00147083" w:rsidP="00927170">
      <w:pPr>
        <w:pStyle w:val="ListParagraph"/>
        <w:ind w:hanging="450"/>
        <w:rPr>
          <w:rFonts w:ascii="Arial" w:hAnsi="Arial" w:cs="Arial"/>
          <w:i/>
          <w:noProof/>
          <w:sz w:val="22"/>
          <w:szCs w:val="22"/>
        </w:rPr>
      </w:pPr>
    </w:p>
    <w:p w14:paraId="321EFD12" w14:textId="698EF17D" w:rsidR="00D91801"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 xml:space="preserve">Exemption – </w:t>
      </w:r>
      <w:r w:rsidRPr="00F67D99">
        <w:rPr>
          <w:rFonts w:ascii="Arial" w:hAnsi="Arial" w:cs="Arial"/>
          <w:iCs/>
          <w:noProof/>
          <w:sz w:val="22"/>
          <w:szCs w:val="22"/>
        </w:rPr>
        <w:t>certain research activities that do not require review and instead receive certification of exemption from the IRB Chairperson</w:t>
      </w:r>
      <w:r w:rsidR="00147083" w:rsidRPr="00F67D99">
        <w:rPr>
          <w:rFonts w:ascii="Arial" w:hAnsi="Arial" w:cs="Arial"/>
          <w:iCs/>
          <w:noProof/>
          <w:sz w:val="22"/>
          <w:szCs w:val="22"/>
        </w:rPr>
        <w:t xml:space="preserve">. </w:t>
      </w:r>
      <w:hyperlink r:id="rId7" w:anchor="se45.1.46_1104" w:history="1">
        <w:r w:rsidR="00147083" w:rsidRPr="00F67D99">
          <w:rPr>
            <w:rStyle w:val="Hyperlink"/>
            <w:rFonts w:ascii="Arial" w:hAnsi="Arial" w:cs="Arial"/>
            <w:noProof/>
            <w:sz w:val="22"/>
            <w:szCs w:val="22"/>
          </w:rPr>
          <w:t>45 CFR 46.104</w:t>
        </w:r>
      </w:hyperlink>
      <w:r w:rsidR="000E7EF2" w:rsidRPr="00F67D99">
        <w:rPr>
          <w:rFonts w:ascii="Arial" w:hAnsi="Arial" w:cs="Arial"/>
          <w:i/>
          <w:noProof/>
          <w:sz w:val="22"/>
          <w:szCs w:val="22"/>
        </w:rPr>
        <w:t xml:space="preserve"> </w:t>
      </w:r>
    </w:p>
    <w:p w14:paraId="69DF61BF" w14:textId="77777777" w:rsidR="00BF7879" w:rsidRPr="00F67D99" w:rsidRDefault="00BF7879" w:rsidP="00927170">
      <w:pPr>
        <w:ind w:hanging="450"/>
        <w:rPr>
          <w:rFonts w:ascii="Arial" w:hAnsi="Arial" w:cs="Arial"/>
          <w:noProof/>
          <w:sz w:val="22"/>
          <w:szCs w:val="22"/>
        </w:rPr>
      </w:pPr>
    </w:p>
    <w:p w14:paraId="39B5BDCB"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Expedited review</w:t>
      </w:r>
      <w:r w:rsidRPr="00F67D99">
        <w:rPr>
          <w:rFonts w:ascii="Arial" w:hAnsi="Arial" w:cs="Arial"/>
          <w:noProof/>
          <w:sz w:val="22"/>
          <w:szCs w:val="22"/>
        </w:rPr>
        <w:t xml:space="preserve"> – Research activities that involve no more than minimal risk, and in which the only involvement of human subjects will be in one or more specific categories may receive expedited review as authorized in </w:t>
      </w:r>
      <w:hyperlink r:id="rId8" w:anchor="se45.1.46_1110" w:history="1">
        <w:r w:rsidR="00147083" w:rsidRPr="00F67D99">
          <w:rPr>
            <w:rStyle w:val="Hyperlink"/>
            <w:rFonts w:ascii="Arial" w:hAnsi="Arial" w:cs="Arial"/>
            <w:noProof/>
            <w:sz w:val="22"/>
            <w:szCs w:val="22"/>
          </w:rPr>
          <w:t xml:space="preserve">45 </w:t>
        </w:r>
        <w:r w:rsidR="00147083" w:rsidRPr="00F67D99">
          <w:rPr>
            <w:rStyle w:val="Hyperlink"/>
            <w:rFonts w:ascii="Arial" w:hAnsi="Arial" w:cs="Arial"/>
            <w:noProof/>
            <w:sz w:val="22"/>
            <w:szCs w:val="22"/>
          </w:rPr>
          <w:t>C</w:t>
        </w:r>
        <w:r w:rsidR="00147083" w:rsidRPr="00F67D99">
          <w:rPr>
            <w:rStyle w:val="Hyperlink"/>
            <w:rFonts w:ascii="Arial" w:hAnsi="Arial" w:cs="Arial"/>
            <w:noProof/>
            <w:sz w:val="22"/>
            <w:szCs w:val="22"/>
          </w:rPr>
          <w:t>FR 46.110</w:t>
        </w:r>
      </w:hyperlink>
      <w:r w:rsidRPr="00F67D99">
        <w:rPr>
          <w:rFonts w:ascii="Arial" w:hAnsi="Arial" w:cs="Arial"/>
          <w:noProof/>
          <w:sz w:val="22"/>
          <w:szCs w:val="22"/>
        </w:rPr>
        <w:t xml:space="preserve"> and described in “IRB Policies and Procedures.”</w:t>
      </w:r>
    </w:p>
    <w:p w14:paraId="0C3EF3AF" w14:textId="77777777" w:rsidR="00BF7879" w:rsidRPr="00F67D99" w:rsidRDefault="00BF7879" w:rsidP="00927170">
      <w:pPr>
        <w:ind w:hanging="450"/>
        <w:rPr>
          <w:rFonts w:ascii="Arial" w:hAnsi="Arial" w:cs="Arial"/>
          <w:iCs/>
          <w:noProof/>
          <w:sz w:val="22"/>
          <w:szCs w:val="22"/>
        </w:rPr>
      </w:pPr>
    </w:p>
    <w:p w14:paraId="6617395E" w14:textId="437B3AD6"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Federalwide Assurance</w:t>
      </w:r>
      <w:r w:rsidRPr="00F67D99">
        <w:rPr>
          <w:rFonts w:ascii="Arial" w:hAnsi="Arial" w:cs="Arial"/>
          <w:noProof/>
          <w:sz w:val="22"/>
          <w:szCs w:val="22"/>
        </w:rPr>
        <w:t xml:space="preserve"> – An assurance of protection for human subjects that formalizes an institution’s commitment to protect human subjects.  Any institution engaged in research, including DHSS and each collaborating institution, must file such an assurance with the federal </w:t>
      </w:r>
      <w:hyperlink r:id="rId9" w:history="1">
        <w:r w:rsidRPr="00F67D99">
          <w:rPr>
            <w:rStyle w:val="Hyperlink"/>
            <w:rFonts w:ascii="Arial" w:hAnsi="Arial" w:cs="Arial"/>
            <w:noProof/>
            <w:sz w:val="22"/>
            <w:szCs w:val="22"/>
          </w:rPr>
          <w:t>Office for Human Re</w:t>
        </w:r>
        <w:r w:rsidRPr="00F67D99">
          <w:rPr>
            <w:rStyle w:val="Hyperlink"/>
            <w:rFonts w:ascii="Arial" w:hAnsi="Arial" w:cs="Arial"/>
            <w:noProof/>
            <w:sz w:val="22"/>
            <w:szCs w:val="22"/>
          </w:rPr>
          <w:t>s</w:t>
        </w:r>
        <w:r w:rsidRPr="00F67D99">
          <w:rPr>
            <w:rStyle w:val="Hyperlink"/>
            <w:rFonts w:ascii="Arial" w:hAnsi="Arial" w:cs="Arial"/>
            <w:noProof/>
            <w:sz w:val="22"/>
            <w:szCs w:val="22"/>
          </w:rPr>
          <w:t>earch Protections</w:t>
        </w:r>
      </w:hyperlink>
      <w:r w:rsidRPr="00F67D99">
        <w:rPr>
          <w:rFonts w:ascii="Arial" w:hAnsi="Arial" w:cs="Arial"/>
          <w:noProof/>
          <w:sz w:val="22"/>
          <w:szCs w:val="22"/>
        </w:rPr>
        <w:t>.</w:t>
      </w:r>
    </w:p>
    <w:p w14:paraId="2400BF37" w14:textId="77777777" w:rsidR="00BF7879" w:rsidRPr="00F67D99" w:rsidRDefault="00BF7879" w:rsidP="00927170">
      <w:pPr>
        <w:ind w:hanging="450"/>
        <w:rPr>
          <w:rFonts w:ascii="Arial" w:hAnsi="Arial" w:cs="Arial"/>
          <w:iCs/>
          <w:noProof/>
          <w:sz w:val="22"/>
          <w:szCs w:val="22"/>
        </w:rPr>
      </w:pPr>
    </w:p>
    <w:p w14:paraId="4BB46251"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Full Board Review</w:t>
      </w:r>
      <w:r w:rsidRPr="00F67D99">
        <w:rPr>
          <w:rFonts w:ascii="Arial" w:hAnsi="Arial" w:cs="Arial"/>
          <w:noProof/>
          <w:sz w:val="22"/>
          <w:szCs w:val="22"/>
        </w:rPr>
        <w:t xml:space="preserve"> – research activities that do not qualify for exemption or expedited review are reviewed by all members of the IRB.</w:t>
      </w:r>
    </w:p>
    <w:p w14:paraId="622CA640" w14:textId="77777777" w:rsidR="00916C66" w:rsidRPr="00F67D99" w:rsidRDefault="00916C66" w:rsidP="00927170">
      <w:pPr>
        <w:ind w:left="720" w:hanging="450"/>
        <w:rPr>
          <w:rFonts w:ascii="Arial" w:hAnsi="Arial" w:cs="Arial"/>
          <w:i/>
          <w:iCs/>
          <w:noProof/>
          <w:sz w:val="22"/>
          <w:szCs w:val="22"/>
        </w:rPr>
      </w:pPr>
    </w:p>
    <w:p w14:paraId="65F2C382"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Human Protections Administrator</w:t>
      </w:r>
      <w:r w:rsidRPr="00F67D99">
        <w:rPr>
          <w:rFonts w:ascii="Arial" w:hAnsi="Arial" w:cs="Arial"/>
          <w:noProof/>
          <w:sz w:val="22"/>
          <w:szCs w:val="22"/>
        </w:rPr>
        <w:t xml:space="preserve"> – has administrative responsibility for the program within an institution, and serves as the primary institutional contact person for the Office of Human Research Protections.</w:t>
      </w:r>
    </w:p>
    <w:p w14:paraId="2D433F66" w14:textId="77777777" w:rsidR="00091142" w:rsidRPr="00F67D99" w:rsidRDefault="00091142" w:rsidP="00927170">
      <w:pPr>
        <w:spacing w:line="288" w:lineRule="atLeast"/>
        <w:ind w:hanging="450"/>
        <w:rPr>
          <w:rFonts w:ascii="Arial" w:hAnsi="Arial" w:cs="Arial"/>
          <w:bCs/>
          <w:i/>
          <w:iCs/>
          <w:color w:val="000000"/>
          <w:sz w:val="22"/>
          <w:szCs w:val="22"/>
        </w:rPr>
      </w:pPr>
    </w:p>
    <w:p w14:paraId="07E3F87C" w14:textId="77777777" w:rsidR="00B0560A" w:rsidRPr="00927170" w:rsidRDefault="00B0560A" w:rsidP="00927170">
      <w:pPr>
        <w:numPr>
          <w:ilvl w:val="0"/>
          <w:numId w:val="21"/>
        </w:numPr>
        <w:spacing w:line="288" w:lineRule="atLeast"/>
        <w:ind w:left="720" w:hanging="450"/>
        <w:rPr>
          <w:rFonts w:ascii="Arial" w:hAnsi="Arial" w:cs="Arial"/>
          <w:bCs/>
          <w:color w:val="000000"/>
          <w:sz w:val="22"/>
          <w:szCs w:val="22"/>
        </w:rPr>
      </w:pPr>
      <w:r w:rsidRPr="00F67D99">
        <w:rPr>
          <w:rFonts w:ascii="Arial" w:hAnsi="Arial" w:cs="Arial"/>
          <w:bCs/>
          <w:i/>
          <w:iCs/>
          <w:color w:val="000000"/>
          <w:sz w:val="22"/>
          <w:szCs w:val="22"/>
        </w:rPr>
        <w:t>Human subject</w:t>
      </w:r>
      <w:r w:rsidRPr="00F67D99">
        <w:rPr>
          <w:rFonts w:ascii="Arial" w:hAnsi="Arial" w:cs="Arial"/>
          <w:bCs/>
          <w:color w:val="000000"/>
          <w:sz w:val="22"/>
          <w:szCs w:val="22"/>
        </w:rPr>
        <w:t xml:space="preserve"> means a living individual about whom an investigator (whether professional or student) conducting research obtains</w:t>
      </w:r>
      <w:r w:rsidRPr="00F67D99">
        <w:rPr>
          <w:rFonts w:ascii="Arial" w:hAnsi="Arial" w:cs="Arial"/>
          <w:color w:val="000000"/>
          <w:sz w:val="22"/>
          <w:szCs w:val="22"/>
        </w:rPr>
        <w:t xml:space="preserve"> </w:t>
      </w:r>
      <w:r w:rsidRPr="00F67D99">
        <w:rPr>
          <w:rFonts w:ascii="Arial" w:hAnsi="Arial" w:cs="Arial"/>
          <w:bCs/>
          <w:color w:val="000000"/>
          <w:sz w:val="22"/>
          <w:szCs w:val="22"/>
        </w:rPr>
        <w:t xml:space="preserve">1) </w:t>
      </w:r>
      <w:r w:rsidR="00A22F6B" w:rsidRPr="00F67D99">
        <w:rPr>
          <w:rFonts w:ascii="Arial" w:hAnsi="Arial" w:cs="Arial"/>
          <w:bCs/>
          <w:sz w:val="22"/>
          <w:szCs w:val="22"/>
        </w:rPr>
        <w:t>information or biospecimens</w:t>
      </w:r>
      <w:r w:rsidR="00A22F6B" w:rsidRPr="00F67D99">
        <w:rPr>
          <w:rFonts w:ascii="Arial" w:hAnsi="Arial" w:cs="Arial"/>
          <w:bCs/>
          <w:color w:val="000000"/>
          <w:sz w:val="22"/>
          <w:szCs w:val="22"/>
        </w:rPr>
        <w:t xml:space="preserve"> </w:t>
      </w:r>
      <w:r w:rsidRPr="00F67D99">
        <w:rPr>
          <w:rFonts w:ascii="Arial" w:hAnsi="Arial" w:cs="Arial"/>
          <w:bCs/>
          <w:color w:val="000000"/>
          <w:sz w:val="22"/>
          <w:szCs w:val="22"/>
        </w:rPr>
        <w:t xml:space="preserve">through intervention or interaction with the individual, or </w:t>
      </w:r>
      <w:r w:rsidRPr="00927170">
        <w:rPr>
          <w:rFonts w:ascii="Arial" w:hAnsi="Arial" w:cs="Arial"/>
          <w:bCs/>
          <w:color w:val="000000"/>
          <w:sz w:val="22"/>
          <w:szCs w:val="22"/>
        </w:rPr>
        <w:t>2) identifiable private information</w:t>
      </w:r>
      <w:r w:rsidR="00A22F6B" w:rsidRPr="00927170">
        <w:rPr>
          <w:rFonts w:ascii="Arial" w:hAnsi="Arial" w:cs="Arial"/>
          <w:bCs/>
          <w:color w:val="000000"/>
          <w:sz w:val="22"/>
          <w:szCs w:val="22"/>
        </w:rPr>
        <w:t xml:space="preserve"> or biospecimen</w:t>
      </w:r>
      <w:r w:rsidRPr="00927170">
        <w:rPr>
          <w:rFonts w:ascii="Arial" w:hAnsi="Arial" w:cs="Arial"/>
          <w:bCs/>
          <w:color w:val="000000"/>
          <w:sz w:val="22"/>
          <w:szCs w:val="22"/>
        </w:rPr>
        <w:t>.</w:t>
      </w:r>
    </w:p>
    <w:p w14:paraId="4FC06B03" w14:textId="77777777" w:rsidR="00E96618" w:rsidRPr="00F67D99" w:rsidRDefault="00E96618" w:rsidP="00927170">
      <w:pPr>
        <w:spacing w:line="288" w:lineRule="atLeast"/>
        <w:ind w:hanging="450"/>
        <w:rPr>
          <w:rFonts w:ascii="Arial" w:hAnsi="Arial" w:cs="Arial"/>
          <w:color w:val="000000"/>
          <w:sz w:val="22"/>
          <w:szCs w:val="22"/>
        </w:rPr>
      </w:pPr>
    </w:p>
    <w:p w14:paraId="23D6343F" w14:textId="77777777" w:rsidR="00B0560A" w:rsidRPr="00F67D99" w:rsidRDefault="00B0560A" w:rsidP="00927170">
      <w:pPr>
        <w:ind w:left="720"/>
        <w:rPr>
          <w:rFonts w:ascii="Arial" w:hAnsi="Arial" w:cs="Arial"/>
          <w:sz w:val="22"/>
          <w:szCs w:val="22"/>
        </w:rPr>
      </w:pPr>
      <w:r w:rsidRPr="00F67D99">
        <w:rPr>
          <w:rFonts w:ascii="Arial" w:hAnsi="Arial" w:cs="Arial"/>
          <w:bCs/>
          <w:iCs/>
          <w:color w:val="000000"/>
          <w:sz w:val="22"/>
          <w:szCs w:val="22"/>
        </w:rPr>
        <w:t>‘Intervention’</w:t>
      </w:r>
      <w:r w:rsidRPr="00F67D99">
        <w:rPr>
          <w:rFonts w:ascii="Arial" w:hAnsi="Arial" w:cs="Arial"/>
          <w:bCs/>
          <w:color w:val="000000"/>
          <w:sz w:val="22"/>
          <w:szCs w:val="22"/>
        </w:rPr>
        <w:t xml:space="preserve"> includes both physical procedures by which </w:t>
      </w:r>
      <w:r w:rsidR="00A22F6B" w:rsidRPr="00F67D99">
        <w:rPr>
          <w:rFonts w:ascii="Arial" w:hAnsi="Arial" w:cs="Arial"/>
          <w:bCs/>
          <w:color w:val="000000"/>
          <w:sz w:val="22"/>
          <w:szCs w:val="22"/>
        </w:rPr>
        <w:t xml:space="preserve">information or biospecimens </w:t>
      </w:r>
      <w:r w:rsidRPr="00F67D99">
        <w:rPr>
          <w:rFonts w:ascii="Arial" w:hAnsi="Arial" w:cs="Arial"/>
          <w:bCs/>
          <w:color w:val="000000"/>
          <w:sz w:val="22"/>
          <w:szCs w:val="22"/>
        </w:rPr>
        <w:t>are gathered (for example, venipuncture) and manipulations of the subject or the subject's environment that are performed for research purposes. Interaction includes communication or interpersonal contact between investigator and subject. ‘</w:t>
      </w:r>
      <w:r w:rsidRPr="00F67D99">
        <w:rPr>
          <w:rFonts w:ascii="Arial" w:hAnsi="Arial" w:cs="Arial"/>
          <w:bCs/>
          <w:iCs/>
          <w:color w:val="000000"/>
          <w:sz w:val="22"/>
          <w:szCs w:val="22"/>
        </w:rPr>
        <w:t>Private information’</w:t>
      </w:r>
      <w:r w:rsidRPr="00F67D99">
        <w:rPr>
          <w:rFonts w:ascii="Arial" w:hAnsi="Arial" w:cs="Arial"/>
          <w:bCs/>
          <w:color w:val="000000"/>
          <w:sz w:val="22"/>
          <w:szCs w:val="22"/>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w:t>
      </w:r>
      <w:r w:rsidRPr="00F67D99">
        <w:rPr>
          <w:rFonts w:ascii="Arial" w:hAnsi="Arial" w:cs="Arial"/>
          <w:bCs/>
          <w:color w:val="000000"/>
          <w:sz w:val="22"/>
          <w:szCs w:val="22"/>
        </w:rPr>
        <w:lastRenderedPageBreak/>
        <w:t>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w:t>
      </w:r>
    </w:p>
    <w:p w14:paraId="6B9F2CC6" w14:textId="77777777" w:rsidR="00BF7879" w:rsidRPr="00F67D99" w:rsidRDefault="00BF7879" w:rsidP="00927170">
      <w:pPr>
        <w:ind w:hanging="450"/>
        <w:rPr>
          <w:rFonts w:ascii="Arial" w:hAnsi="Arial" w:cs="Arial"/>
          <w:noProof/>
          <w:sz w:val="22"/>
          <w:szCs w:val="22"/>
        </w:rPr>
      </w:pPr>
    </w:p>
    <w:p w14:paraId="5485AA9B"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Incompetent person</w:t>
      </w:r>
      <w:r w:rsidRPr="00F67D99">
        <w:rPr>
          <w:rFonts w:ascii="Arial" w:hAnsi="Arial" w:cs="Arial"/>
          <w:noProof/>
          <w:sz w:val="22"/>
          <w:szCs w:val="22"/>
        </w:rPr>
        <w:t xml:space="preserve"> – any person who has either been adjudged incompetent or who, in fact, lacks the capacity to understand what he/she is being asked to do and to thereafter give his/her consent.</w:t>
      </w:r>
    </w:p>
    <w:p w14:paraId="26EECDC2" w14:textId="77777777" w:rsidR="00BF7879" w:rsidRPr="00F67D99" w:rsidRDefault="00BF7879" w:rsidP="00927170">
      <w:pPr>
        <w:ind w:hanging="450"/>
        <w:rPr>
          <w:rFonts w:ascii="Arial" w:hAnsi="Arial" w:cs="Arial"/>
          <w:noProof/>
          <w:sz w:val="22"/>
          <w:szCs w:val="22"/>
        </w:rPr>
      </w:pPr>
    </w:p>
    <w:p w14:paraId="32584FF6"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Informed consent</w:t>
      </w:r>
      <w:r w:rsidRPr="00F67D99">
        <w:rPr>
          <w:rFonts w:ascii="Arial" w:hAnsi="Arial" w:cs="Arial"/>
          <w:noProof/>
          <w:sz w:val="22"/>
          <w:szCs w:val="22"/>
        </w:rPr>
        <w:t xml:space="preserve"> – knowing consent by a person or his/her legally authorized representative.  Before giving informed consent, the person or his/her legally authorized representative must be presented with the basic elements of information about the research listed in federal regulation </w:t>
      </w:r>
      <w:hyperlink r:id="rId10" w:anchor="se45.1.46_1116" w:history="1">
        <w:r w:rsidR="00091142" w:rsidRPr="00F67D99">
          <w:rPr>
            <w:rStyle w:val="Hyperlink"/>
            <w:rFonts w:ascii="Arial" w:hAnsi="Arial" w:cs="Arial"/>
            <w:noProof/>
            <w:sz w:val="22"/>
            <w:szCs w:val="22"/>
          </w:rPr>
          <w:t>45 CFR 46.1</w:t>
        </w:r>
        <w:r w:rsidR="00091142" w:rsidRPr="00F67D99">
          <w:rPr>
            <w:rStyle w:val="Hyperlink"/>
            <w:rFonts w:ascii="Arial" w:hAnsi="Arial" w:cs="Arial"/>
            <w:noProof/>
            <w:sz w:val="22"/>
            <w:szCs w:val="22"/>
          </w:rPr>
          <w:t>1</w:t>
        </w:r>
        <w:r w:rsidR="00091142" w:rsidRPr="00F67D99">
          <w:rPr>
            <w:rStyle w:val="Hyperlink"/>
            <w:rFonts w:ascii="Arial" w:hAnsi="Arial" w:cs="Arial"/>
            <w:noProof/>
            <w:sz w:val="22"/>
            <w:szCs w:val="22"/>
          </w:rPr>
          <w:t>6</w:t>
        </w:r>
      </w:hyperlink>
      <w:r w:rsidRPr="00F67D99">
        <w:rPr>
          <w:rFonts w:ascii="Arial" w:hAnsi="Arial" w:cs="Arial"/>
          <w:noProof/>
          <w:sz w:val="22"/>
          <w:szCs w:val="22"/>
        </w:rPr>
        <w:t>, and must have sufficient opportunity to consider whether to participate.</w:t>
      </w:r>
    </w:p>
    <w:p w14:paraId="01006AF6" w14:textId="77777777" w:rsidR="00BF7879" w:rsidRPr="00F67D99" w:rsidRDefault="00BF7879" w:rsidP="00927170">
      <w:pPr>
        <w:ind w:hanging="450"/>
        <w:rPr>
          <w:rFonts w:ascii="Arial" w:hAnsi="Arial" w:cs="Arial"/>
          <w:noProof/>
          <w:sz w:val="22"/>
          <w:szCs w:val="22"/>
        </w:rPr>
      </w:pPr>
    </w:p>
    <w:p w14:paraId="081403A3"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Institution</w:t>
      </w:r>
      <w:r w:rsidRPr="00F67D99">
        <w:rPr>
          <w:rFonts w:ascii="Arial" w:hAnsi="Arial" w:cs="Arial"/>
          <w:noProof/>
          <w:sz w:val="22"/>
          <w:szCs w:val="22"/>
        </w:rPr>
        <w:t xml:space="preserve"> – any public or private entity or agency (including federal, state, and other agencies).</w:t>
      </w:r>
    </w:p>
    <w:p w14:paraId="02DC3466" w14:textId="77777777" w:rsidR="00BF7879" w:rsidRPr="00F67D99" w:rsidRDefault="00BF7879" w:rsidP="00927170">
      <w:pPr>
        <w:ind w:hanging="450"/>
        <w:rPr>
          <w:rFonts w:ascii="Arial" w:hAnsi="Arial" w:cs="Arial"/>
          <w:noProof/>
          <w:sz w:val="22"/>
          <w:szCs w:val="22"/>
        </w:rPr>
      </w:pPr>
    </w:p>
    <w:p w14:paraId="54D2E42A"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I</w:t>
      </w:r>
      <w:r w:rsidRPr="00F67D99">
        <w:rPr>
          <w:rFonts w:ascii="Arial" w:hAnsi="Arial" w:cs="Arial"/>
          <w:i/>
          <w:iCs/>
          <w:noProof/>
          <w:sz w:val="22"/>
          <w:szCs w:val="22"/>
        </w:rPr>
        <w:t>nstitutional Official</w:t>
      </w:r>
      <w:r w:rsidRPr="00F67D99">
        <w:rPr>
          <w:rFonts w:ascii="Arial" w:hAnsi="Arial" w:cs="Arial"/>
          <w:noProof/>
          <w:sz w:val="22"/>
          <w:szCs w:val="22"/>
        </w:rPr>
        <w:t xml:space="preserve"> – the individual authorized to act for an institution, and who assumes on behalf of the institution, the obligations of the institution’s federalwide assurance.  The institutional official appoints the IRB members and chair, provides the necessary resources and staff, and supports IRB authority and decisions.</w:t>
      </w:r>
    </w:p>
    <w:p w14:paraId="3987FCCF" w14:textId="77777777" w:rsidR="00BF7879" w:rsidRPr="00F67D99" w:rsidRDefault="00BF7879" w:rsidP="00927170">
      <w:pPr>
        <w:ind w:hanging="450"/>
        <w:rPr>
          <w:rFonts w:ascii="Arial" w:hAnsi="Arial" w:cs="Arial"/>
          <w:noProof/>
          <w:sz w:val="22"/>
          <w:szCs w:val="22"/>
        </w:rPr>
      </w:pPr>
    </w:p>
    <w:p w14:paraId="30FA6652"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Institutional Review Board</w:t>
      </w:r>
      <w:r w:rsidRPr="00F67D99">
        <w:rPr>
          <w:rFonts w:ascii="Arial" w:hAnsi="Arial" w:cs="Arial"/>
          <w:noProof/>
          <w:sz w:val="22"/>
          <w:szCs w:val="22"/>
        </w:rPr>
        <w:t xml:space="preserve"> – a committee charged with the responsibility to assure that all research engaged in by an institution complies with federal guidelines and regulations concerning the protection of human subjects.  See “IRB Organization and Functions” for more information.</w:t>
      </w:r>
    </w:p>
    <w:p w14:paraId="11341875" w14:textId="77777777" w:rsidR="00BF7879" w:rsidRPr="00F67D99" w:rsidRDefault="00BF7879" w:rsidP="00927170">
      <w:pPr>
        <w:ind w:hanging="450"/>
        <w:rPr>
          <w:rFonts w:ascii="Arial" w:hAnsi="Arial" w:cs="Arial"/>
          <w:noProof/>
          <w:sz w:val="22"/>
          <w:szCs w:val="22"/>
        </w:rPr>
      </w:pPr>
    </w:p>
    <w:p w14:paraId="169AEA9E"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Investigator</w:t>
      </w:r>
      <w:r w:rsidRPr="00F67D99">
        <w:rPr>
          <w:rFonts w:ascii="Arial" w:hAnsi="Arial" w:cs="Arial"/>
          <w:noProof/>
          <w:sz w:val="22"/>
          <w:szCs w:val="22"/>
        </w:rPr>
        <w:t xml:space="preserve"> – any individual involved in the conduct of human subjects research.</w:t>
      </w:r>
    </w:p>
    <w:p w14:paraId="50276605" w14:textId="77777777" w:rsidR="00BF7879" w:rsidRPr="00F67D99" w:rsidRDefault="00BF7879" w:rsidP="00927170">
      <w:pPr>
        <w:ind w:hanging="450"/>
        <w:rPr>
          <w:rFonts w:ascii="Arial" w:hAnsi="Arial" w:cs="Arial"/>
          <w:noProof/>
          <w:sz w:val="22"/>
          <w:szCs w:val="22"/>
        </w:rPr>
      </w:pPr>
    </w:p>
    <w:p w14:paraId="1281B79E"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Legally authorized representative</w:t>
      </w:r>
      <w:r w:rsidRPr="00F67D99">
        <w:rPr>
          <w:rFonts w:ascii="Arial" w:hAnsi="Arial" w:cs="Arial"/>
          <w:noProof/>
          <w:sz w:val="22"/>
          <w:szCs w:val="22"/>
        </w:rPr>
        <w:t xml:space="preserve"> – any person or judicial or other body authorized by law to consent on </w:t>
      </w:r>
      <w:r w:rsidR="00A170FA" w:rsidRPr="00F67D99">
        <w:rPr>
          <w:rFonts w:ascii="Arial" w:hAnsi="Arial" w:cs="Arial"/>
          <w:noProof/>
          <w:sz w:val="22"/>
          <w:szCs w:val="22"/>
        </w:rPr>
        <w:t>behalf of a prospective subject</w:t>
      </w:r>
      <w:r w:rsidRPr="00F67D99">
        <w:rPr>
          <w:rFonts w:ascii="Arial" w:hAnsi="Arial" w:cs="Arial"/>
          <w:noProof/>
          <w:sz w:val="22"/>
          <w:szCs w:val="22"/>
        </w:rPr>
        <w:t xml:space="preserve"> </w:t>
      </w:r>
      <w:hyperlink r:id="rId11" w:anchor="se45.1.46_1102" w:history="1">
        <w:r w:rsidR="00463DC4" w:rsidRPr="00F67D99">
          <w:rPr>
            <w:rStyle w:val="Hyperlink"/>
            <w:rFonts w:ascii="Arial" w:hAnsi="Arial" w:cs="Arial"/>
            <w:noProof/>
            <w:sz w:val="22"/>
            <w:szCs w:val="22"/>
          </w:rPr>
          <w:t>(45 C</w:t>
        </w:r>
        <w:r w:rsidR="00463DC4" w:rsidRPr="00F67D99">
          <w:rPr>
            <w:rStyle w:val="Hyperlink"/>
            <w:rFonts w:ascii="Arial" w:hAnsi="Arial" w:cs="Arial"/>
            <w:noProof/>
            <w:sz w:val="22"/>
            <w:szCs w:val="22"/>
          </w:rPr>
          <w:t>F</w:t>
        </w:r>
        <w:r w:rsidR="00463DC4" w:rsidRPr="00F67D99">
          <w:rPr>
            <w:rStyle w:val="Hyperlink"/>
            <w:rFonts w:ascii="Arial" w:hAnsi="Arial" w:cs="Arial"/>
            <w:noProof/>
            <w:sz w:val="22"/>
            <w:szCs w:val="22"/>
          </w:rPr>
          <w:t xml:space="preserve">R 46.102(i)). </w:t>
        </w:r>
      </w:hyperlink>
      <w:r w:rsidRPr="00F67D99">
        <w:rPr>
          <w:rFonts w:ascii="Arial" w:hAnsi="Arial" w:cs="Arial"/>
          <w:noProof/>
          <w:sz w:val="22"/>
          <w:szCs w:val="22"/>
        </w:rPr>
        <w:t xml:space="preserve"> </w:t>
      </w:r>
    </w:p>
    <w:p w14:paraId="156DEE29" w14:textId="77777777" w:rsidR="00BF7879" w:rsidRPr="00F67D99" w:rsidRDefault="00BF7879" w:rsidP="00927170">
      <w:pPr>
        <w:ind w:hanging="450"/>
        <w:rPr>
          <w:rFonts w:ascii="Arial" w:hAnsi="Arial" w:cs="Arial"/>
          <w:noProof/>
          <w:sz w:val="22"/>
          <w:szCs w:val="22"/>
        </w:rPr>
      </w:pPr>
    </w:p>
    <w:p w14:paraId="3556527E"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Minimal risk</w:t>
      </w:r>
      <w:r w:rsidRPr="00F67D99">
        <w:rPr>
          <w:rFonts w:ascii="Arial" w:hAnsi="Arial" w:cs="Arial"/>
          <w:noProof/>
          <w:sz w:val="22"/>
          <w:szCs w:val="22"/>
        </w:rPr>
        <w:t xml:space="preserve"> – the probability and magnitude of harm or discomfort anticipated in the proposed research are not greater than those ordinarily encountered in daily life or during the performance of routine physical or psychological examinations or tests.</w:t>
      </w:r>
    </w:p>
    <w:p w14:paraId="4BA77D12" w14:textId="77777777" w:rsidR="00BF7879" w:rsidRPr="00F67D99" w:rsidRDefault="00BF7879" w:rsidP="00927170">
      <w:pPr>
        <w:ind w:hanging="450"/>
        <w:rPr>
          <w:rFonts w:ascii="Arial" w:hAnsi="Arial" w:cs="Arial"/>
          <w:iCs/>
          <w:noProof/>
          <w:sz w:val="22"/>
          <w:szCs w:val="22"/>
        </w:rPr>
      </w:pPr>
    </w:p>
    <w:p w14:paraId="7375F873"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Minor/Child</w:t>
      </w:r>
      <w:r w:rsidRPr="00F67D99">
        <w:rPr>
          <w:rFonts w:ascii="Arial" w:hAnsi="Arial" w:cs="Arial"/>
          <w:noProof/>
          <w:sz w:val="22"/>
          <w:szCs w:val="22"/>
        </w:rPr>
        <w:t xml:space="preserve"> – any person under age 18; minor is synonymous with child in the context of procedures involving human subjects.</w:t>
      </w:r>
    </w:p>
    <w:p w14:paraId="0FC9369C" w14:textId="77777777" w:rsidR="00BF7879" w:rsidRPr="00F67D99" w:rsidRDefault="00BF7879" w:rsidP="00927170">
      <w:pPr>
        <w:ind w:hanging="450"/>
        <w:rPr>
          <w:rFonts w:ascii="Arial" w:hAnsi="Arial" w:cs="Arial"/>
          <w:i/>
          <w:noProof/>
          <w:sz w:val="22"/>
          <w:szCs w:val="22"/>
        </w:rPr>
      </w:pPr>
    </w:p>
    <w:p w14:paraId="3540C8A1"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Protocol</w:t>
      </w:r>
      <w:r w:rsidRPr="00F67D99">
        <w:rPr>
          <w:rFonts w:ascii="Arial" w:hAnsi="Arial" w:cs="Arial"/>
          <w:noProof/>
          <w:sz w:val="22"/>
          <w:szCs w:val="22"/>
        </w:rPr>
        <w:t xml:space="preserve"> – a detailed description of a proposed research project that includes all the elements specified under “Protocol Submission” (see IRB Form 1).</w:t>
      </w:r>
    </w:p>
    <w:p w14:paraId="115D86AF" w14:textId="77777777" w:rsidR="00BF7879" w:rsidRPr="00F67D99" w:rsidRDefault="00BF7879" w:rsidP="00927170">
      <w:pPr>
        <w:ind w:hanging="450"/>
        <w:rPr>
          <w:rFonts w:ascii="Arial" w:hAnsi="Arial" w:cs="Arial"/>
          <w:noProof/>
          <w:sz w:val="22"/>
          <w:szCs w:val="22"/>
        </w:rPr>
      </w:pPr>
    </w:p>
    <w:p w14:paraId="4C0491E9"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noProof/>
          <w:sz w:val="22"/>
          <w:szCs w:val="22"/>
        </w:rPr>
        <w:t>Reasonably available</w:t>
      </w:r>
      <w:r w:rsidRPr="00F67D99">
        <w:rPr>
          <w:rFonts w:ascii="Arial" w:hAnsi="Arial" w:cs="Arial"/>
          <w:noProof/>
          <w:sz w:val="22"/>
          <w:szCs w:val="22"/>
        </w:rPr>
        <w:t xml:space="preserve"> – a parent of a minor subject is deemed to be reasonably available if located within the county in which the study is being conducted.</w:t>
      </w:r>
    </w:p>
    <w:p w14:paraId="665E632C" w14:textId="77777777" w:rsidR="00BF7879" w:rsidRPr="00F67D99" w:rsidRDefault="00BF7879" w:rsidP="00927170">
      <w:pPr>
        <w:ind w:hanging="450"/>
        <w:rPr>
          <w:rFonts w:ascii="Arial" w:hAnsi="Arial" w:cs="Arial"/>
          <w:noProof/>
          <w:sz w:val="22"/>
          <w:szCs w:val="22"/>
        </w:rPr>
      </w:pPr>
    </w:p>
    <w:p w14:paraId="4E0F6C6B" w14:textId="77777777" w:rsidR="00BF7879" w:rsidRPr="00F67D99" w:rsidRDefault="00BF7879" w:rsidP="00927170">
      <w:pPr>
        <w:numPr>
          <w:ilvl w:val="0"/>
          <w:numId w:val="21"/>
        </w:numPr>
        <w:ind w:left="720" w:hanging="450"/>
        <w:rPr>
          <w:rFonts w:ascii="Arial" w:hAnsi="Arial" w:cs="Arial"/>
          <w:i/>
          <w:noProof/>
          <w:sz w:val="22"/>
          <w:szCs w:val="22"/>
        </w:rPr>
      </w:pPr>
      <w:r w:rsidRPr="00F67D99">
        <w:rPr>
          <w:rFonts w:ascii="Arial" w:hAnsi="Arial" w:cs="Arial"/>
          <w:i/>
          <w:noProof/>
          <w:sz w:val="22"/>
          <w:szCs w:val="22"/>
        </w:rPr>
        <w:t>Research</w:t>
      </w:r>
      <w:r w:rsidRPr="00F67D99">
        <w:rPr>
          <w:rFonts w:ascii="Arial" w:hAnsi="Arial" w:cs="Arial"/>
          <w:noProof/>
          <w:sz w:val="22"/>
          <w:szCs w:val="22"/>
        </w:rPr>
        <w:t xml:space="preserve"> – a systematic investigation designed to develop or contribute to generalizable knowledge.  Activities that meet this definition consitute research for purposes of DHSS policy, whether or not they are conducted or supported </w:t>
      </w:r>
      <w:r w:rsidRPr="00F67D99">
        <w:rPr>
          <w:rFonts w:ascii="Arial" w:hAnsi="Arial" w:cs="Arial"/>
          <w:noProof/>
          <w:sz w:val="22"/>
          <w:szCs w:val="22"/>
        </w:rPr>
        <w:lastRenderedPageBreak/>
        <w:t xml:space="preserve">under a program that is considered research for other purposes.  For example, some demonstration and service programs may include research activities.  Surveys, questionnaires and inteverviews conducted by staff qualify as research if they are used to gather data as part of a methodology to test a hypothesis, permit conclusions to be drawn, and thereby contribute to generalizable knowledge. </w:t>
      </w:r>
    </w:p>
    <w:p w14:paraId="40BF321E" w14:textId="77777777" w:rsidR="00BF7879" w:rsidRPr="00F67D99" w:rsidRDefault="00BF7879" w:rsidP="00927170">
      <w:pPr>
        <w:ind w:hanging="450"/>
        <w:rPr>
          <w:rFonts w:ascii="Arial" w:hAnsi="Arial" w:cs="Arial"/>
          <w:iCs/>
          <w:noProof/>
          <w:sz w:val="22"/>
          <w:szCs w:val="22"/>
        </w:rPr>
      </w:pPr>
    </w:p>
    <w:p w14:paraId="01F27C4C" w14:textId="77777777" w:rsidR="00D13FCA" w:rsidRPr="00F67D99" w:rsidRDefault="00D13FCA" w:rsidP="00927170">
      <w:pPr>
        <w:pStyle w:val="NormalWeb"/>
        <w:numPr>
          <w:ilvl w:val="0"/>
          <w:numId w:val="21"/>
        </w:numPr>
        <w:ind w:left="720" w:hanging="450"/>
        <w:rPr>
          <w:rFonts w:ascii="Arial" w:hAnsi="Arial" w:cs="Arial"/>
          <w:sz w:val="22"/>
          <w:szCs w:val="22"/>
        </w:rPr>
      </w:pPr>
      <w:r w:rsidRPr="003E664E">
        <w:rPr>
          <w:rFonts w:ascii="Arial" w:hAnsi="Arial" w:cs="Arial"/>
          <w:i/>
          <w:sz w:val="22"/>
          <w:szCs w:val="22"/>
        </w:rPr>
        <w:t>Public Health Authority</w:t>
      </w:r>
      <w:r w:rsidRPr="00F67D99">
        <w:rPr>
          <w:rFonts w:ascii="Arial" w:hAnsi="Arial" w:cs="Arial"/>
          <w:sz w:val="22"/>
          <w:szCs w:val="22"/>
        </w:rPr>
        <w:t xml:space="preserve"> – An agency or authority of the United States.</w:t>
      </w:r>
    </w:p>
    <w:p w14:paraId="4E972974" w14:textId="77777777" w:rsidR="00483B91" w:rsidRPr="00F67D99" w:rsidRDefault="00483B91" w:rsidP="00927170">
      <w:pPr>
        <w:pStyle w:val="NormalWeb"/>
        <w:ind w:left="630" w:firstLine="90"/>
        <w:rPr>
          <w:rFonts w:ascii="Arial" w:hAnsi="Arial" w:cs="Arial"/>
          <w:sz w:val="22"/>
          <w:szCs w:val="22"/>
        </w:rPr>
      </w:pPr>
      <w:r w:rsidRPr="00F67D99">
        <w:rPr>
          <w:rFonts w:ascii="Arial" w:hAnsi="Arial" w:cs="Arial"/>
          <w:sz w:val="22"/>
          <w:szCs w:val="22"/>
        </w:rPr>
        <w:t>For purposes of this part, the following activities are deemed not to be research:</w:t>
      </w:r>
    </w:p>
    <w:p w14:paraId="181E29AD" w14:textId="77777777" w:rsidR="00483B91" w:rsidRPr="00F67D99" w:rsidRDefault="00483B91" w:rsidP="00927170">
      <w:pPr>
        <w:pStyle w:val="NormalWeb"/>
        <w:numPr>
          <w:ilvl w:val="0"/>
          <w:numId w:val="23"/>
        </w:numPr>
        <w:ind w:left="1260" w:hanging="450"/>
        <w:rPr>
          <w:rFonts w:ascii="Arial" w:hAnsi="Arial" w:cs="Arial"/>
          <w:sz w:val="22"/>
          <w:szCs w:val="22"/>
        </w:rPr>
      </w:pPr>
      <w:r w:rsidRPr="00F67D99">
        <w:rPr>
          <w:rFonts w:ascii="Arial" w:hAnsi="Arial" w:cs="Arial"/>
          <w:sz w:val="22"/>
          <w:szCs w:val="22"/>
        </w:rPr>
        <w:t>Scholarly and journalistic activities (</w:t>
      </w:r>
      <w:r w:rsidRPr="00F67D99">
        <w:rPr>
          <w:rFonts w:ascii="Arial" w:hAnsi="Arial" w:cs="Arial"/>
          <w:i/>
          <w:iCs/>
          <w:sz w:val="22"/>
          <w:szCs w:val="22"/>
        </w:rPr>
        <w:t>e.g.,</w:t>
      </w:r>
      <w:r w:rsidRPr="00F67D99">
        <w:rPr>
          <w:rFonts w:ascii="Arial" w:hAnsi="Arial" w:cs="Arial"/>
          <w:sz w:val="22"/>
          <w:szCs w:val="22"/>
        </w:rPr>
        <w:t xml:space="preserve"> oral history, journalism, biography, literary criticism, legal research, and historical scholarship), including the collection and use of information, that focus directly on the specific individuals about whom the information is collected.</w:t>
      </w:r>
    </w:p>
    <w:p w14:paraId="583196DB" w14:textId="77777777" w:rsidR="00483B91" w:rsidRPr="00F67D99" w:rsidRDefault="00483B91" w:rsidP="00927170">
      <w:pPr>
        <w:pStyle w:val="NormalWeb"/>
        <w:numPr>
          <w:ilvl w:val="0"/>
          <w:numId w:val="23"/>
        </w:numPr>
        <w:ind w:left="1260" w:hanging="450"/>
        <w:rPr>
          <w:rFonts w:ascii="Arial" w:hAnsi="Arial" w:cs="Arial"/>
          <w:sz w:val="22"/>
          <w:szCs w:val="22"/>
        </w:rPr>
      </w:pPr>
      <w:r w:rsidRPr="00F67D99">
        <w:rPr>
          <w:rFonts w:ascii="Arial" w:hAnsi="Arial" w:cs="Arial"/>
          <w:sz w:val="22"/>
          <w:szCs w:val="22"/>
        </w:rPr>
        <w:t>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man-made disasters).</w:t>
      </w:r>
    </w:p>
    <w:p w14:paraId="01753491" w14:textId="77777777" w:rsidR="00957997" w:rsidRPr="00F67D99" w:rsidRDefault="00483B91" w:rsidP="00927170">
      <w:pPr>
        <w:pStyle w:val="NormalWeb"/>
        <w:numPr>
          <w:ilvl w:val="0"/>
          <w:numId w:val="23"/>
        </w:numPr>
        <w:ind w:left="1260" w:hanging="450"/>
        <w:rPr>
          <w:rFonts w:ascii="Arial" w:hAnsi="Arial" w:cs="Arial"/>
          <w:sz w:val="22"/>
          <w:szCs w:val="22"/>
        </w:rPr>
      </w:pPr>
      <w:r w:rsidRPr="00F67D99">
        <w:rPr>
          <w:rFonts w:ascii="Arial" w:hAnsi="Arial" w:cs="Arial"/>
          <w:sz w:val="22"/>
          <w:szCs w:val="22"/>
        </w:rPr>
        <w:t>Collection and analysis of information, biospecimens, or records by or for a criminal justice agency for activities authorized by law or court order solely for criminal justice or criminal investigative purposes.</w:t>
      </w:r>
    </w:p>
    <w:p w14:paraId="086E4C76" w14:textId="77777777" w:rsidR="00957997" w:rsidRPr="00F67D99" w:rsidRDefault="00483B91" w:rsidP="00927170">
      <w:pPr>
        <w:pStyle w:val="NormalWeb"/>
        <w:numPr>
          <w:ilvl w:val="0"/>
          <w:numId w:val="23"/>
        </w:numPr>
        <w:ind w:left="1260" w:hanging="450"/>
        <w:rPr>
          <w:rFonts w:ascii="Arial" w:hAnsi="Arial" w:cs="Arial"/>
          <w:sz w:val="22"/>
          <w:szCs w:val="22"/>
        </w:rPr>
      </w:pPr>
      <w:r w:rsidRPr="00F67D99">
        <w:rPr>
          <w:rFonts w:ascii="Arial" w:hAnsi="Arial" w:cs="Arial"/>
          <w:sz w:val="22"/>
          <w:szCs w:val="22"/>
        </w:rPr>
        <w:t>Authorized operational activities (as determined by each agency) in support of intelligence, homeland security, defense, or other national security missions.</w:t>
      </w:r>
    </w:p>
    <w:p w14:paraId="0A77FDAC" w14:textId="77777777" w:rsidR="00483B91" w:rsidRPr="00F67D99" w:rsidRDefault="00483B91" w:rsidP="00927170">
      <w:pPr>
        <w:pStyle w:val="NormalWeb"/>
        <w:numPr>
          <w:ilvl w:val="0"/>
          <w:numId w:val="21"/>
        </w:numPr>
        <w:ind w:left="720" w:hanging="450"/>
        <w:rPr>
          <w:rFonts w:ascii="Arial" w:hAnsi="Arial" w:cs="Arial"/>
          <w:sz w:val="22"/>
          <w:szCs w:val="22"/>
        </w:rPr>
      </w:pPr>
      <w:r w:rsidRPr="00F67D99">
        <w:rPr>
          <w:rFonts w:ascii="Arial" w:hAnsi="Arial" w:cs="Arial"/>
          <w:i/>
          <w:iCs/>
          <w:sz w:val="22"/>
          <w:szCs w:val="22"/>
        </w:rPr>
        <w:t>Written,</w:t>
      </w:r>
      <w:r w:rsidRPr="00F67D99">
        <w:rPr>
          <w:rFonts w:ascii="Arial" w:hAnsi="Arial" w:cs="Arial"/>
          <w:sz w:val="22"/>
          <w:szCs w:val="22"/>
        </w:rPr>
        <w:t xml:space="preserve"> or </w:t>
      </w:r>
      <w:r w:rsidRPr="00F67D99">
        <w:rPr>
          <w:rFonts w:ascii="Arial" w:hAnsi="Arial" w:cs="Arial"/>
          <w:i/>
          <w:iCs/>
          <w:sz w:val="22"/>
          <w:szCs w:val="22"/>
        </w:rPr>
        <w:t>in writing,</w:t>
      </w:r>
      <w:r w:rsidRPr="00F67D99">
        <w:rPr>
          <w:rFonts w:ascii="Arial" w:hAnsi="Arial" w:cs="Arial"/>
          <w:sz w:val="22"/>
          <w:szCs w:val="22"/>
        </w:rPr>
        <w:t xml:space="preserve"> for purposes of this part, refers to writing on a tangible medium (</w:t>
      </w:r>
      <w:r w:rsidRPr="00F67D99">
        <w:rPr>
          <w:rFonts w:ascii="Arial" w:hAnsi="Arial" w:cs="Arial"/>
          <w:i/>
          <w:iCs/>
          <w:sz w:val="22"/>
          <w:szCs w:val="22"/>
        </w:rPr>
        <w:t>e.g.,</w:t>
      </w:r>
      <w:r w:rsidRPr="00F67D99">
        <w:rPr>
          <w:rFonts w:ascii="Arial" w:hAnsi="Arial" w:cs="Arial"/>
          <w:sz w:val="22"/>
          <w:szCs w:val="22"/>
        </w:rPr>
        <w:t xml:space="preserve"> paper) or in an electronic format.</w:t>
      </w:r>
    </w:p>
    <w:p w14:paraId="384B744F" w14:textId="77777777" w:rsidR="00BF7879" w:rsidRPr="00F67D99" w:rsidRDefault="00BF7879" w:rsidP="00927170">
      <w:pPr>
        <w:ind w:hanging="450"/>
        <w:rPr>
          <w:rFonts w:ascii="Arial" w:hAnsi="Arial" w:cs="Arial"/>
          <w:noProof/>
          <w:sz w:val="22"/>
          <w:szCs w:val="22"/>
        </w:rPr>
      </w:pPr>
    </w:p>
    <w:p w14:paraId="41B9BB1A"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Research Investigator</w:t>
      </w:r>
      <w:r w:rsidRPr="00F67D99">
        <w:rPr>
          <w:rFonts w:ascii="Arial" w:hAnsi="Arial" w:cs="Arial"/>
          <w:noProof/>
          <w:sz w:val="22"/>
          <w:szCs w:val="22"/>
        </w:rPr>
        <w:t xml:space="preserve"> – see Investigator.</w:t>
      </w:r>
    </w:p>
    <w:p w14:paraId="0D4B9FAD" w14:textId="77777777" w:rsidR="00BF7879" w:rsidRPr="00F67D99" w:rsidRDefault="00BF7879" w:rsidP="00927170">
      <w:pPr>
        <w:ind w:hanging="450"/>
        <w:rPr>
          <w:rFonts w:ascii="Arial" w:hAnsi="Arial" w:cs="Arial"/>
          <w:noProof/>
          <w:sz w:val="22"/>
          <w:szCs w:val="22"/>
        </w:rPr>
      </w:pPr>
    </w:p>
    <w:p w14:paraId="29397169"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Signatory Official</w:t>
      </w:r>
      <w:r w:rsidR="00927170">
        <w:rPr>
          <w:rFonts w:ascii="Arial" w:hAnsi="Arial" w:cs="Arial"/>
          <w:noProof/>
          <w:sz w:val="22"/>
          <w:szCs w:val="22"/>
        </w:rPr>
        <w:t xml:space="preserve"> – A </w:t>
      </w:r>
      <w:r w:rsidRPr="00F67D99">
        <w:rPr>
          <w:rFonts w:ascii="Arial" w:hAnsi="Arial" w:cs="Arial"/>
          <w:noProof/>
          <w:sz w:val="22"/>
          <w:szCs w:val="22"/>
        </w:rPr>
        <w:t>high-level institutional official who has the authority to represent the institution named in the Fedaralwide Assurance (FWA) as well as all the institutional components listed in the FWA.</w:t>
      </w:r>
    </w:p>
    <w:p w14:paraId="1BC0A083" w14:textId="77777777" w:rsidR="00BF7879" w:rsidRPr="00F67D99" w:rsidRDefault="00BF7879" w:rsidP="00927170">
      <w:pPr>
        <w:ind w:hanging="450"/>
        <w:rPr>
          <w:rFonts w:ascii="Arial" w:hAnsi="Arial" w:cs="Arial"/>
          <w:noProof/>
          <w:sz w:val="22"/>
          <w:szCs w:val="22"/>
        </w:rPr>
      </w:pPr>
    </w:p>
    <w:p w14:paraId="47DA937C" w14:textId="77777777" w:rsidR="00BF7879" w:rsidRPr="00F67D99" w:rsidRDefault="00BF7879" w:rsidP="00927170">
      <w:pPr>
        <w:numPr>
          <w:ilvl w:val="0"/>
          <w:numId w:val="21"/>
        </w:numPr>
        <w:ind w:left="720" w:hanging="450"/>
        <w:rPr>
          <w:rFonts w:ascii="Arial" w:hAnsi="Arial" w:cs="Arial"/>
          <w:noProof/>
          <w:sz w:val="22"/>
          <w:szCs w:val="22"/>
        </w:rPr>
      </w:pPr>
      <w:r w:rsidRPr="00F67D99">
        <w:rPr>
          <w:rFonts w:ascii="Arial" w:hAnsi="Arial" w:cs="Arial"/>
          <w:i/>
          <w:iCs/>
          <w:noProof/>
          <w:sz w:val="22"/>
          <w:szCs w:val="22"/>
        </w:rPr>
        <w:t>Unaffiliated Investigator</w:t>
      </w:r>
      <w:r w:rsidRPr="00F67D99">
        <w:rPr>
          <w:rFonts w:ascii="Arial" w:hAnsi="Arial" w:cs="Arial"/>
          <w:noProof/>
          <w:sz w:val="22"/>
          <w:szCs w:val="22"/>
        </w:rPr>
        <w:t xml:space="preserve"> – an investigator who is not acting as the employee or agent of an FWA institution, for example, a physician in private practice.  Such investigators must enter into an arrangement with an FWA institution under which they agree to be bound by the human protection policies of the institution and its designated IRB(s).</w:t>
      </w:r>
    </w:p>
    <w:sectPr w:rsidR="00BF7879" w:rsidRPr="00F67D99">
      <w:headerReference w:type="default" r:id="rId12"/>
      <w:footerReference w:type="even" r:id="rId13"/>
      <w:footerReference w:type="default" r:id="rId14"/>
      <w:headerReference w:type="first" r:id="rId15"/>
      <w:footerReference w:type="first" r:id="rId16"/>
      <w:pgSz w:w="12240" w:h="15840" w:code="1"/>
      <w:pgMar w:top="144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EDD6" w14:textId="77777777" w:rsidR="003D6E05" w:rsidRDefault="003D6E05">
      <w:r>
        <w:separator/>
      </w:r>
    </w:p>
  </w:endnote>
  <w:endnote w:type="continuationSeparator" w:id="0">
    <w:p w14:paraId="63A18F57" w14:textId="77777777" w:rsidR="003D6E05" w:rsidRDefault="003D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4C5A" w14:textId="77777777" w:rsidR="00805F3E" w:rsidRDefault="00805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00E08" w14:textId="77777777" w:rsidR="00805F3E" w:rsidRDefault="00805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AD0E" w14:textId="49953437" w:rsidR="00805F3E" w:rsidRDefault="00805F3E">
    <w:pPr>
      <w:pStyle w:val="Footer"/>
      <w:ind w:right="360"/>
      <w:rPr>
        <w:rFonts w:ascii="Arial" w:hAnsi="Arial"/>
      </w:rPr>
    </w:pPr>
    <w:r>
      <w:rPr>
        <w:rStyle w:val="PageNumber"/>
        <w:rFonts w:ascii="Arial" w:hAnsi="Arial"/>
      </w:rPr>
      <w:t xml:space="preserve">Revised </w:t>
    </w:r>
    <w:r w:rsidR="003F4014">
      <w:rPr>
        <w:rStyle w:val="PageNumber"/>
        <w:rFonts w:ascii="Arial" w:hAnsi="Arial"/>
      </w:rPr>
      <w:t>09/24</w:t>
    </w:r>
    <w:r>
      <w:rPr>
        <w:rStyle w:val="PageNumber"/>
        <w:rFonts w:ascii="Arial" w:hAnsi="Arial"/>
      </w:rPr>
      <w:tab/>
    </w:r>
    <w:r>
      <w:rPr>
        <w:rStyle w:val="PageNumber"/>
        <w:rFonts w:ascii="Arial" w:hAnsi="Arial"/>
      </w:rPr>
      <w:tab/>
    </w:r>
    <w:r>
      <w:rPr>
        <w:rStyle w:val="PageNumber"/>
      </w:rPr>
      <w:fldChar w:fldCharType="begin"/>
    </w:r>
    <w:r>
      <w:rPr>
        <w:rStyle w:val="PageNumber"/>
      </w:rPr>
      <w:instrText xml:space="preserve"> PAGE </w:instrText>
    </w:r>
    <w:r>
      <w:rPr>
        <w:rStyle w:val="PageNumber"/>
      </w:rPr>
      <w:fldChar w:fldCharType="separate"/>
    </w:r>
    <w:r w:rsidR="00E34DA3">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340D" w14:textId="77777777" w:rsidR="00805F3E" w:rsidRDefault="00805F3E">
    <w:pPr>
      <w:pStyle w:val="Footer"/>
      <w:rPr>
        <w:rFonts w:ascii="Arial" w:hAnsi="Arial" w:cs="Arial"/>
      </w:rPr>
    </w:pPr>
    <w:r>
      <w:rPr>
        <w:rFonts w:ascii="Arial" w:hAnsi="Arial" w:cs="Arial"/>
      </w:rPr>
      <w:t>Revised 04/07</w:t>
    </w:r>
    <w:r>
      <w:rPr>
        <w:rFonts w:ascii="Arial" w:hAnsi="Arial" w:cs="Arial"/>
      </w:rPr>
      <w:tab/>
    </w:r>
    <w:r>
      <w:rPr>
        <w:rFonts w:ascii="Arial" w:hAnsi="Arial" w:cs="Arial"/>
      </w:rPr>
      <w:tab/>
      <w:t>Definition of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EA58" w14:textId="77777777" w:rsidR="003D6E05" w:rsidRDefault="003D6E05">
      <w:r>
        <w:separator/>
      </w:r>
    </w:p>
  </w:footnote>
  <w:footnote w:type="continuationSeparator" w:id="0">
    <w:p w14:paraId="6CF0FF41" w14:textId="77777777" w:rsidR="003D6E05" w:rsidRDefault="003D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0690" w14:textId="77777777" w:rsidR="00805F3E" w:rsidRDefault="00805F3E">
    <w:pPr>
      <w:pStyle w:val="Header"/>
      <w:rPr>
        <w:rFonts w:ascii="Arial" w:hAnsi="Arial"/>
      </w:rPr>
    </w:pPr>
    <w:r>
      <w:rPr>
        <w:rFonts w:ascii="Arial" w:hAnsi="Arial"/>
      </w:rPr>
      <w:t>Missouri Department of Health and Senior Services</w:t>
    </w:r>
    <w:r>
      <w:rPr>
        <w:rFonts w:ascii="Arial" w:hAnsi="Arial"/>
      </w:rPr>
      <w:tab/>
    </w:r>
  </w:p>
  <w:p w14:paraId="55EAB494" w14:textId="77777777" w:rsidR="00805F3E" w:rsidRDefault="00805F3E">
    <w:pPr>
      <w:pStyle w:val="Header"/>
      <w:rPr>
        <w:rFonts w:ascii="Arial" w:hAnsi="Arial"/>
      </w:rPr>
    </w:pPr>
    <w:r>
      <w:rPr>
        <w:rFonts w:ascii="Arial" w:hAnsi="Arial"/>
      </w:rPr>
      <w:t>Institutional Review Board Guidelines</w:t>
    </w:r>
  </w:p>
  <w:p w14:paraId="281E6BC2" w14:textId="77777777" w:rsidR="00805F3E" w:rsidRDefault="00805F3E">
    <w:pPr>
      <w:pStyle w:val="Header"/>
      <w:rPr>
        <w:rFonts w:ascii="Arial" w:hAnsi="Arial"/>
      </w:rPr>
    </w:pPr>
    <w:r>
      <w:rPr>
        <w:rFonts w:ascii="Arial" w:hAnsi="Arial"/>
      </w:rPr>
      <w:t>Definition of Terms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901D" w14:textId="77777777" w:rsidR="00805F3E" w:rsidRDefault="00805F3E">
    <w:pPr>
      <w:pStyle w:val="Header"/>
      <w:rPr>
        <w:rFonts w:ascii="Arial" w:hAnsi="Arial"/>
      </w:rPr>
    </w:pPr>
    <w:r>
      <w:rPr>
        <w:rFonts w:ascii="Arial" w:hAnsi="Arial"/>
      </w:rPr>
      <w:t>Missouri Department of Health and Senior Services</w:t>
    </w:r>
    <w:r>
      <w:rPr>
        <w:rFonts w:ascii="Arial" w:hAnsi="Arial"/>
      </w:rPr>
      <w:tab/>
    </w:r>
  </w:p>
  <w:p w14:paraId="1C628706" w14:textId="77777777" w:rsidR="00805F3E" w:rsidRDefault="00805F3E">
    <w:pPr>
      <w:pStyle w:val="Header"/>
      <w:rPr>
        <w:rFonts w:ascii="Arial" w:hAnsi="Arial"/>
      </w:rPr>
    </w:pPr>
    <w:r>
      <w:rPr>
        <w:rFonts w:ascii="Arial" w:hAnsi="Arial"/>
      </w:rPr>
      <w:t>Institutional Review Board Guidelines</w:t>
    </w:r>
  </w:p>
  <w:p w14:paraId="0AE2A688" w14:textId="77777777" w:rsidR="00805F3E" w:rsidRDefault="00805F3E">
    <w:pPr>
      <w:pStyle w:val="Header"/>
      <w:rPr>
        <w:rFonts w:ascii="Arial" w:hAnsi="Arial"/>
      </w:rPr>
    </w:pPr>
    <w:r>
      <w:rPr>
        <w:rFonts w:ascii="Arial" w:hAnsi="Arial"/>
      </w:rPr>
      <w:t>Definition of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60C"/>
    <w:multiLevelType w:val="hybridMultilevel"/>
    <w:tmpl w:val="DD90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C28B5"/>
    <w:multiLevelType w:val="hybridMultilevel"/>
    <w:tmpl w:val="B1825E66"/>
    <w:lvl w:ilvl="0" w:tplc="4E92870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0BF60320"/>
    <w:multiLevelType w:val="singleLevel"/>
    <w:tmpl w:val="481CEC90"/>
    <w:lvl w:ilvl="0">
      <w:start w:val="5"/>
      <w:numFmt w:val="decimal"/>
      <w:lvlText w:val="%1."/>
      <w:lvlJc w:val="left"/>
      <w:pPr>
        <w:tabs>
          <w:tab w:val="num" w:pos="720"/>
        </w:tabs>
        <w:ind w:left="720" w:hanging="720"/>
      </w:pPr>
      <w:rPr>
        <w:rFonts w:hint="default"/>
      </w:rPr>
    </w:lvl>
  </w:abstractNum>
  <w:abstractNum w:abstractNumId="3" w15:restartNumberingAfterBreak="0">
    <w:nsid w:val="0CEC723A"/>
    <w:multiLevelType w:val="hybridMultilevel"/>
    <w:tmpl w:val="2BB04E16"/>
    <w:lvl w:ilvl="0" w:tplc="2E12EA5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7C694F"/>
    <w:multiLevelType w:val="hybridMultilevel"/>
    <w:tmpl w:val="A2AC4824"/>
    <w:lvl w:ilvl="0" w:tplc="4E92870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F961768"/>
    <w:multiLevelType w:val="hybridMultilevel"/>
    <w:tmpl w:val="6C38F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604D0D"/>
    <w:multiLevelType w:val="hybridMultilevel"/>
    <w:tmpl w:val="E5B01D8E"/>
    <w:lvl w:ilvl="0" w:tplc="5C30F1A2">
      <w:start w:val="3"/>
      <w:numFmt w:val="decimal"/>
      <w:lvlText w:val="(%1)"/>
      <w:lvlJc w:val="left"/>
      <w:pPr>
        <w:ind w:left="1170" w:hanging="360"/>
      </w:pPr>
      <w:rPr>
        <w:rFonts w:hint="default"/>
        <w:color w:val="C0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9784A26"/>
    <w:multiLevelType w:val="singleLevel"/>
    <w:tmpl w:val="8A28B1F6"/>
    <w:lvl w:ilvl="0">
      <w:start w:val="1"/>
      <w:numFmt w:val="lowerLetter"/>
      <w:lvlText w:val="%1)"/>
      <w:lvlJc w:val="left"/>
      <w:pPr>
        <w:tabs>
          <w:tab w:val="num" w:pos="1440"/>
        </w:tabs>
        <w:ind w:left="1440" w:hanging="720"/>
      </w:pPr>
      <w:rPr>
        <w:rFonts w:hint="default"/>
      </w:rPr>
    </w:lvl>
  </w:abstractNum>
  <w:abstractNum w:abstractNumId="8" w15:restartNumberingAfterBreak="0">
    <w:nsid w:val="199F3166"/>
    <w:multiLevelType w:val="multilevel"/>
    <w:tmpl w:val="0409001D"/>
    <w:numStyleLink w:val="Style1"/>
  </w:abstractNum>
  <w:abstractNum w:abstractNumId="9" w15:restartNumberingAfterBreak="0">
    <w:nsid w:val="1C1508A8"/>
    <w:multiLevelType w:val="hybridMultilevel"/>
    <w:tmpl w:val="A2063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C465FE"/>
    <w:multiLevelType w:val="singleLevel"/>
    <w:tmpl w:val="19201F6A"/>
    <w:lvl w:ilvl="0">
      <w:start w:val="1"/>
      <w:numFmt w:val="decimal"/>
      <w:lvlText w:val="%1."/>
      <w:lvlJc w:val="left"/>
      <w:pPr>
        <w:tabs>
          <w:tab w:val="num" w:pos="720"/>
        </w:tabs>
        <w:ind w:left="720" w:hanging="720"/>
      </w:pPr>
      <w:rPr>
        <w:rFonts w:hint="default"/>
      </w:rPr>
    </w:lvl>
  </w:abstractNum>
  <w:abstractNum w:abstractNumId="11" w15:restartNumberingAfterBreak="0">
    <w:nsid w:val="3A760BE5"/>
    <w:multiLevelType w:val="singleLevel"/>
    <w:tmpl w:val="2710DA24"/>
    <w:lvl w:ilvl="0">
      <w:start w:val="1"/>
      <w:numFmt w:val="lowerLetter"/>
      <w:lvlText w:val="%1)"/>
      <w:lvlJc w:val="left"/>
      <w:pPr>
        <w:tabs>
          <w:tab w:val="num" w:pos="1440"/>
        </w:tabs>
        <w:ind w:left="1440" w:hanging="720"/>
      </w:pPr>
      <w:rPr>
        <w:rFonts w:hint="default"/>
      </w:rPr>
    </w:lvl>
  </w:abstractNum>
  <w:abstractNum w:abstractNumId="12" w15:restartNumberingAfterBreak="0">
    <w:nsid w:val="3B4743E5"/>
    <w:multiLevelType w:val="singleLevel"/>
    <w:tmpl w:val="B9568F92"/>
    <w:lvl w:ilvl="0">
      <w:start w:val="1"/>
      <w:numFmt w:val="decimal"/>
      <w:lvlText w:val="%1."/>
      <w:lvlJc w:val="left"/>
      <w:pPr>
        <w:tabs>
          <w:tab w:val="num" w:pos="720"/>
        </w:tabs>
        <w:ind w:left="720" w:hanging="720"/>
      </w:pPr>
      <w:rPr>
        <w:rFonts w:hint="default"/>
      </w:rPr>
    </w:lvl>
  </w:abstractNum>
  <w:abstractNum w:abstractNumId="13" w15:restartNumberingAfterBreak="0">
    <w:nsid w:val="48D13D64"/>
    <w:multiLevelType w:val="singleLevel"/>
    <w:tmpl w:val="D78823E6"/>
    <w:lvl w:ilvl="0">
      <w:start w:val="1"/>
      <w:numFmt w:val="lowerLetter"/>
      <w:lvlText w:val="%1."/>
      <w:lvlJc w:val="left"/>
      <w:pPr>
        <w:tabs>
          <w:tab w:val="num" w:pos="1440"/>
        </w:tabs>
        <w:ind w:left="1440" w:hanging="720"/>
      </w:pPr>
      <w:rPr>
        <w:rFonts w:hint="default"/>
      </w:rPr>
    </w:lvl>
  </w:abstractNum>
  <w:abstractNum w:abstractNumId="14" w15:restartNumberingAfterBreak="0">
    <w:nsid w:val="535B1433"/>
    <w:multiLevelType w:val="multilevel"/>
    <w:tmpl w:val="2B12B6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C60F97"/>
    <w:multiLevelType w:val="hybridMultilevel"/>
    <w:tmpl w:val="82FA3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C0C21"/>
    <w:multiLevelType w:val="hybridMultilevel"/>
    <w:tmpl w:val="F9BA1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A9031F"/>
    <w:multiLevelType w:val="multilevel"/>
    <w:tmpl w:val="3086F9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B756A7"/>
    <w:multiLevelType w:val="hybridMultilevel"/>
    <w:tmpl w:val="08B2DEA8"/>
    <w:lvl w:ilvl="0" w:tplc="4E92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75E2E"/>
    <w:multiLevelType w:val="hybridMultilevel"/>
    <w:tmpl w:val="9320C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EA318A"/>
    <w:multiLevelType w:val="hybridMultilevel"/>
    <w:tmpl w:val="A3765844"/>
    <w:lvl w:ilvl="0" w:tplc="4E9287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4D20D30"/>
    <w:multiLevelType w:val="singleLevel"/>
    <w:tmpl w:val="22D8043A"/>
    <w:lvl w:ilvl="0">
      <w:start w:val="1"/>
      <w:numFmt w:val="lowerLetter"/>
      <w:lvlText w:val="%1."/>
      <w:lvlJc w:val="left"/>
      <w:pPr>
        <w:tabs>
          <w:tab w:val="num" w:pos="1440"/>
        </w:tabs>
        <w:ind w:left="1440" w:hanging="720"/>
      </w:pPr>
      <w:rPr>
        <w:rFonts w:hint="default"/>
      </w:rPr>
    </w:lvl>
  </w:abstractNum>
  <w:abstractNum w:abstractNumId="22" w15:restartNumberingAfterBreak="0">
    <w:nsid w:val="66FA4B64"/>
    <w:multiLevelType w:val="multilevel"/>
    <w:tmpl w:val="0409001D"/>
    <w:styleLink w:val="Style1"/>
    <w:lvl w:ilvl="0">
      <w:start w:val="13"/>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010BEF"/>
    <w:multiLevelType w:val="singleLevel"/>
    <w:tmpl w:val="F788A594"/>
    <w:lvl w:ilvl="0">
      <w:start w:val="1"/>
      <w:numFmt w:val="decimal"/>
      <w:lvlText w:val="%1."/>
      <w:lvlJc w:val="left"/>
      <w:pPr>
        <w:ind w:left="720" w:hanging="360"/>
      </w:pPr>
      <w:rPr>
        <w:rFonts w:ascii="Arial" w:hAnsi="Arial" w:cs="Arial" w:hint="default"/>
        <w:color w:val="auto"/>
        <w:sz w:val="22"/>
        <w:szCs w:val="22"/>
        <w:u w:val="none"/>
      </w:rPr>
    </w:lvl>
  </w:abstractNum>
  <w:abstractNum w:abstractNumId="24" w15:restartNumberingAfterBreak="0">
    <w:nsid w:val="7A0C7EDA"/>
    <w:multiLevelType w:val="hybridMultilevel"/>
    <w:tmpl w:val="A614F916"/>
    <w:lvl w:ilvl="0" w:tplc="E6A61550">
      <w:start w:val="3"/>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059786">
    <w:abstractNumId w:val="10"/>
  </w:num>
  <w:num w:numId="2" w16cid:durableId="926116985">
    <w:abstractNumId w:val="12"/>
  </w:num>
  <w:num w:numId="3" w16cid:durableId="818230850">
    <w:abstractNumId w:val="11"/>
  </w:num>
  <w:num w:numId="4" w16cid:durableId="280262676">
    <w:abstractNumId w:val="2"/>
  </w:num>
  <w:num w:numId="5" w16cid:durableId="847183916">
    <w:abstractNumId w:val="23"/>
  </w:num>
  <w:num w:numId="6" w16cid:durableId="1702246634">
    <w:abstractNumId w:val="7"/>
  </w:num>
  <w:num w:numId="7" w16cid:durableId="1327246464">
    <w:abstractNumId w:val="21"/>
  </w:num>
  <w:num w:numId="8" w16cid:durableId="1246919498">
    <w:abstractNumId w:val="13"/>
  </w:num>
  <w:num w:numId="9" w16cid:durableId="176818397">
    <w:abstractNumId w:val="5"/>
  </w:num>
  <w:num w:numId="10" w16cid:durableId="279840522">
    <w:abstractNumId w:val="19"/>
  </w:num>
  <w:num w:numId="11" w16cid:durableId="202988727">
    <w:abstractNumId w:val="0"/>
  </w:num>
  <w:num w:numId="12" w16cid:durableId="1174031921">
    <w:abstractNumId w:val="14"/>
  </w:num>
  <w:num w:numId="13" w16cid:durableId="1021200517">
    <w:abstractNumId w:val="17"/>
  </w:num>
  <w:num w:numId="14" w16cid:durableId="334235513">
    <w:abstractNumId w:val="4"/>
  </w:num>
  <w:num w:numId="15" w16cid:durableId="1391028475">
    <w:abstractNumId w:val="24"/>
  </w:num>
  <w:num w:numId="16" w16cid:durableId="451635486">
    <w:abstractNumId w:val="1"/>
  </w:num>
  <w:num w:numId="17" w16cid:durableId="106972549">
    <w:abstractNumId w:val="6"/>
  </w:num>
  <w:num w:numId="18" w16cid:durableId="103304659">
    <w:abstractNumId w:val="18"/>
  </w:num>
  <w:num w:numId="19" w16cid:durableId="664362940">
    <w:abstractNumId w:val="22"/>
  </w:num>
  <w:num w:numId="20" w16cid:durableId="1272544159">
    <w:abstractNumId w:val="8"/>
  </w:num>
  <w:num w:numId="21" w16cid:durableId="596863466">
    <w:abstractNumId w:val="3"/>
  </w:num>
  <w:num w:numId="22" w16cid:durableId="1722092787">
    <w:abstractNumId w:val="9"/>
  </w:num>
  <w:num w:numId="23" w16cid:durableId="2073580840">
    <w:abstractNumId w:val="20"/>
  </w:num>
  <w:num w:numId="24" w16cid:durableId="1323392304">
    <w:abstractNumId w:val="16"/>
  </w:num>
  <w:num w:numId="25" w16cid:durableId="1197499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7dal2ss9zoCqJnA1kEqF8luIPZY2SAKBOGoxKLV5/6N3VE443pCPmy1qrPQP3ieBHSnY0sYh89RDPLPCr4LWQ==" w:salt="LEYAt2q2qcMaPZ2hQKZCN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0A"/>
    <w:rsid w:val="00003C95"/>
    <w:rsid w:val="0001532A"/>
    <w:rsid w:val="00016A72"/>
    <w:rsid w:val="00091142"/>
    <w:rsid w:val="000E7EF2"/>
    <w:rsid w:val="001042B6"/>
    <w:rsid w:val="00141531"/>
    <w:rsid w:val="00147083"/>
    <w:rsid w:val="00233237"/>
    <w:rsid w:val="00332BEB"/>
    <w:rsid w:val="00345857"/>
    <w:rsid w:val="00361E6F"/>
    <w:rsid w:val="003C02B7"/>
    <w:rsid w:val="003D1B9C"/>
    <w:rsid w:val="003D6E05"/>
    <w:rsid w:val="003E664E"/>
    <w:rsid w:val="003F2A6D"/>
    <w:rsid w:val="003F4014"/>
    <w:rsid w:val="00463DC4"/>
    <w:rsid w:val="00483B91"/>
    <w:rsid w:val="00484486"/>
    <w:rsid w:val="005609E2"/>
    <w:rsid w:val="005863F8"/>
    <w:rsid w:val="00604BDB"/>
    <w:rsid w:val="00624901"/>
    <w:rsid w:val="006D5702"/>
    <w:rsid w:val="00792CC5"/>
    <w:rsid w:val="007C7A71"/>
    <w:rsid w:val="00805F3E"/>
    <w:rsid w:val="00916C66"/>
    <w:rsid w:val="00927170"/>
    <w:rsid w:val="00957997"/>
    <w:rsid w:val="00A170FA"/>
    <w:rsid w:val="00A22F6B"/>
    <w:rsid w:val="00B0560A"/>
    <w:rsid w:val="00B5560C"/>
    <w:rsid w:val="00BF34CB"/>
    <w:rsid w:val="00BF7879"/>
    <w:rsid w:val="00C056F0"/>
    <w:rsid w:val="00CB7992"/>
    <w:rsid w:val="00D13FCA"/>
    <w:rsid w:val="00D53276"/>
    <w:rsid w:val="00D61368"/>
    <w:rsid w:val="00D65F82"/>
    <w:rsid w:val="00D91801"/>
    <w:rsid w:val="00D97291"/>
    <w:rsid w:val="00DB71D5"/>
    <w:rsid w:val="00E34DA3"/>
    <w:rsid w:val="00E96618"/>
    <w:rsid w:val="00F578CB"/>
    <w:rsid w:val="00F67D99"/>
    <w:rsid w:val="00FA6842"/>
    <w:rsid w:val="00FC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C6084"/>
  <w15:chartTrackingRefBased/>
  <w15:docId w15:val="{67C4DB1E-454F-4ACC-B54B-937906F9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tabs>
        <w:tab w:val="right" w:leader="dot" w:pos="8280"/>
      </w:tabs>
      <w:jc w:val="center"/>
      <w:outlineLvl w:val="3"/>
    </w:pPr>
    <w:rPr>
      <w:rFonts w:ascii="Arial" w:hAnsi="Arial"/>
      <w:b/>
      <w:sz w:val="44"/>
    </w:rPr>
  </w:style>
  <w:style w:type="paragraph" w:styleId="Heading5">
    <w:name w:val="heading 5"/>
    <w:basedOn w:val="Normal"/>
    <w:next w:val="Normal"/>
    <w:qFormat/>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right" w:leader="dot" w:pos="7740"/>
      </w:tabs>
      <w:ind w:left="360"/>
    </w:pPr>
    <w:rPr>
      <w:rFonts w:ascii="Arial" w:hAnsi="Arial"/>
      <w:sz w:val="22"/>
    </w:rPr>
  </w:style>
  <w:style w:type="paragraph" w:styleId="BodyTextIndent2">
    <w:name w:val="Body Text Indent 2"/>
    <w:basedOn w:val="Normal"/>
    <w:semiHidden/>
    <w:pPr>
      <w:ind w:left="720"/>
    </w:pPr>
    <w:rPr>
      <w:rFonts w:ascii="Arial" w:hAnsi="Arial"/>
      <w:sz w:val="22"/>
    </w:rPr>
  </w:style>
  <w:style w:type="paragraph" w:styleId="BodyTextIndent3">
    <w:name w:val="Body Text Indent 3"/>
    <w:basedOn w:val="Normal"/>
    <w:semiHidden/>
    <w:pPr>
      <w:ind w:left="1440" w:hanging="720"/>
    </w:pPr>
    <w:rPr>
      <w:rFonts w:ascii="Arial" w:hAnsi="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rPr>
      <w:rFonts w:ascii="Arial" w:hAnsi="Arial"/>
      <w:iCs/>
      <w:noProof/>
      <w:sz w:val="2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Paragraph">
    <w:name w:val="List Paragraph"/>
    <w:basedOn w:val="Normal"/>
    <w:uiPriority w:val="34"/>
    <w:qFormat/>
    <w:rsid w:val="00E96618"/>
    <w:pPr>
      <w:ind w:left="720"/>
    </w:pPr>
  </w:style>
  <w:style w:type="character" w:styleId="CommentReference">
    <w:name w:val="annotation reference"/>
    <w:uiPriority w:val="99"/>
    <w:semiHidden/>
    <w:unhideWhenUsed/>
    <w:rsid w:val="00805F3E"/>
    <w:rPr>
      <w:sz w:val="16"/>
      <w:szCs w:val="16"/>
    </w:rPr>
  </w:style>
  <w:style w:type="paragraph" w:styleId="CommentText">
    <w:name w:val="annotation text"/>
    <w:basedOn w:val="Normal"/>
    <w:link w:val="CommentTextChar"/>
    <w:uiPriority w:val="99"/>
    <w:semiHidden/>
    <w:unhideWhenUsed/>
    <w:rsid w:val="00805F3E"/>
  </w:style>
  <w:style w:type="character" w:customStyle="1" w:styleId="CommentTextChar">
    <w:name w:val="Comment Text Char"/>
    <w:basedOn w:val="DefaultParagraphFont"/>
    <w:link w:val="CommentText"/>
    <w:uiPriority w:val="99"/>
    <w:semiHidden/>
    <w:rsid w:val="00805F3E"/>
  </w:style>
  <w:style w:type="paragraph" w:styleId="CommentSubject">
    <w:name w:val="annotation subject"/>
    <w:basedOn w:val="CommentText"/>
    <w:next w:val="CommentText"/>
    <w:link w:val="CommentSubjectChar"/>
    <w:uiPriority w:val="99"/>
    <w:semiHidden/>
    <w:unhideWhenUsed/>
    <w:rsid w:val="00805F3E"/>
    <w:rPr>
      <w:b/>
      <w:bCs/>
    </w:rPr>
  </w:style>
  <w:style w:type="character" w:customStyle="1" w:styleId="CommentSubjectChar">
    <w:name w:val="Comment Subject Char"/>
    <w:link w:val="CommentSubject"/>
    <w:uiPriority w:val="99"/>
    <w:semiHidden/>
    <w:rsid w:val="00805F3E"/>
    <w:rPr>
      <w:b/>
      <w:bCs/>
    </w:rPr>
  </w:style>
  <w:style w:type="paragraph" w:styleId="BalloonText">
    <w:name w:val="Balloon Text"/>
    <w:basedOn w:val="Normal"/>
    <w:link w:val="BalloonTextChar"/>
    <w:uiPriority w:val="99"/>
    <w:semiHidden/>
    <w:unhideWhenUsed/>
    <w:rsid w:val="00805F3E"/>
    <w:rPr>
      <w:rFonts w:ascii="Segoe UI" w:hAnsi="Segoe UI" w:cs="Segoe UI"/>
      <w:sz w:val="18"/>
      <w:szCs w:val="18"/>
    </w:rPr>
  </w:style>
  <w:style w:type="character" w:customStyle="1" w:styleId="BalloonTextChar">
    <w:name w:val="Balloon Text Char"/>
    <w:link w:val="BalloonText"/>
    <w:uiPriority w:val="99"/>
    <w:semiHidden/>
    <w:rsid w:val="00805F3E"/>
    <w:rPr>
      <w:rFonts w:ascii="Segoe UI" w:hAnsi="Segoe UI" w:cs="Segoe UI"/>
      <w:sz w:val="18"/>
      <w:szCs w:val="18"/>
    </w:rPr>
  </w:style>
  <w:style w:type="paragraph" w:styleId="NormalWeb">
    <w:name w:val="Normal (Web)"/>
    <w:basedOn w:val="Normal"/>
    <w:uiPriority w:val="99"/>
    <w:unhideWhenUsed/>
    <w:rsid w:val="00805F3E"/>
    <w:pPr>
      <w:spacing w:before="100" w:beforeAutospacing="1" w:after="100" w:afterAutospacing="1"/>
      <w:ind w:firstLine="480"/>
    </w:pPr>
    <w:rPr>
      <w:sz w:val="24"/>
      <w:szCs w:val="24"/>
    </w:rPr>
  </w:style>
  <w:style w:type="numbering" w:customStyle="1" w:styleId="Style1">
    <w:name w:val="Style1"/>
    <w:uiPriority w:val="99"/>
    <w:rsid w:val="0095799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0656">
      <w:bodyDiv w:val="1"/>
      <w:marLeft w:val="0"/>
      <w:marRight w:val="0"/>
      <w:marTop w:val="0"/>
      <w:marBottom w:val="0"/>
      <w:divBdr>
        <w:top w:val="none" w:sz="0" w:space="0" w:color="auto"/>
        <w:left w:val="none" w:sz="0" w:space="0" w:color="auto"/>
        <w:bottom w:val="none" w:sz="0" w:space="0" w:color="auto"/>
        <w:right w:val="none" w:sz="0" w:space="0" w:color="auto"/>
      </w:divBdr>
    </w:div>
    <w:div w:id="1210604813">
      <w:bodyDiv w:val="1"/>
      <w:marLeft w:val="0"/>
      <w:marRight w:val="0"/>
      <w:marTop w:val="0"/>
      <w:marBottom w:val="0"/>
      <w:divBdr>
        <w:top w:val="none" w:sz="0" w:space="0" w:color="auto"/>
        <w:left w:val="none" w:sz="0" w:space="0" w:color="auto"/>
        <w:bottom w:val="none" w:sz="0" w:space="0" w:color="auto"/>
        <w:right w:val="none" w:sz="0" w:space="0" w:color="auto"/>
      </w:divBdr>
    </w:div>
    <w:div w:id="17048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83cd09e1c0f5c6937cd9d7513160fc3f&amp;pitd=20180719&amp;n=pt45.1.46&amp;r=PART&amp;ty=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gi-bin/retrieveECFR?gp=&amp;SID=83cd09e1c0f5c6937cd9d7513160fc3f&amp;pitd=20180719&amp;n=pt45.1.46&amp;r=PART&amp;ty=HTML"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gi-bin/retrieveECFR?gp=&amp;SID=83cd09e1c0f5c6937cd9d7513160fc3f&amp;pitd=20180719&amp;n=pt45.1.46&amp;r=PART&amp;ty=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cfr.gov/cgi-bin/retrieveECFR?gp=&amp;SID=83cd09e1c0f5c6937cd9d7513160fc3f&amp;pitd=20180719&amp;n=pt45.1.46&amp;r=PART&amp;ty=HTML" TargetMode="External"/><Relationship Id="rId4" Type="http://schemas.openxmlformats.org/officeDocument/2006/relationships/webSettings" Target="webSettings.xml"/><Relationship Id="rId9" Type="http://schemas.openxmlformats.org/officeDocument/2006/relationships/hyperlink" Target="https://www.hhs.gov/ohrp/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1205</Words>
  <Characters>7776</Characters>
  <Application>Microsoft Office Word</Application>
  <DocSecurity>8</DocSecurity>
  <Lines>64</Lines>
  <Paragraphs>17</Paragraphs>
  <ScaleCrop>false</ScaleCrop>
  <HeadingPairs>
    <vt:vector size="2" baseType="variant">
      <vt:variant>
        <vt:lpstr>Title</vt:lpstr>
      </vt:variant>
      <vt:variant>
        <vt:i4>1</vt:i4>
      </vt:variant>
    </vt:vector>
  </HeadingPairs>
  <TitlesOfParts>
    <vt:vector size="1" baseType="lpstr">
      <vt:lpstr>Missouri Department of Health</vt:lpstr>
    </vt:vector>
  </TitlesOfParts>
  <Company>Mo Dept of Health</Company>
  <LinksUpToDate>false</LinksUpToDate>
  <CharactersWithSpaces>8964</CharactersWithSpaces>
  <SharedDoc>false</SharedDoc>
  <HLinks>
    <vt:vector size="36" baseType="variant">
      <vt:variant>
        <vt:i4>7209052</vt:i4>
      </vt:variant>
      <vt:variant>
        <vt:i4>15</vt:i4>
      </vt:variant>
      <vt:variant>
        <vt:i4>0</vt:i4>
      </vt:variant>
      <vt:variant>
        <vt:i4>5</vt:i4>
      </vt:variant>
      <vt:variant>
        <vt:lpwstr>https://www.ecfr.gov/cgi-bin/retrieveECFR?gp=&amp;SID=83cd09e1c0f5c6937cd9d7513160fc3f&amp;pitd=20180719&amp;n=pt45.1.46&amp;r=PART&amp;ty=HTML</vt:lpwstr>
      </vt:variant>
      <vt:variant>
        <vt:lpwstr>se45.1.46_1102</vt:lpwstr>
      </vt:variant>
      <vt:variant>
        <vt:i4>6946909</vt:i4>
      </vt:variant>
      <vt:variant>
        <vt:i4>12</vt:i4>
      </vt:variant>
      <vt:variant>
        <vt:i4>0</vt:i4>
      </vt:variant>
      <vt:variant>
        <vt:i4>5</vt:i4>
      </vt:variant>
      <vt:variant>
        <vt:lpwstr>https://www.ecfr.gov/cgi-bin/retrieveECFR?gp=&amp;SID=83cd09e1c0f5c6937cd9d7513160fc3f&amp;pitd=20180719&amp;n=pt45.1.46&amp;r=PART&amp;ty=HTML</vt:lpwstr>
      </vt:variant>
      <vt:variant>
        <vt:lpwstr>se45.1.46_1116</vt:lpwstr>
      </vt:variant>
      <vt:variant>
        <vt:i4>2359348</vt:i4>
      </vt:variant>
      <vt:variant>
        <vt:i4>9</vt:i4>
      </vt:variant>
      <vt:variant>
        <vt:i4>0</vt:i4>
      </vt:variant>
      <vt:variant>
        <vt:i4>5</vt:i4>
      </vt:variant>
      <vt:variant>
        <vt:lpwstr>http://www.hhs.gov/ohrp/humansubjects/guidance/45cfr46.htm</vt:lpwstr>
      </vt:variant>
      <vt:variant>
        <vt:lpwstr/>
      </vt:variant>
      <vt:variant>
        <vt:i4>7077981</vt:i4>
      </vt:variant>
      <vt:variant>
        <vt:i4>6</vt:i4>
      </vt:variant>
      <vt:variant>
        <vt:i4>0</vt:i4>
      </vt:variant>
      <vt:variant>
        <vt:i4>5</vt:i4>
      </vt:variant>
      <vt:variant>
        <vt:lpwstr>https://www.ecfr.gov/cgi-bin/retrieveECFR?gp=&amp;SID=83cd09e1c0f5c6937cd9d7513160fc3f&amp;pitd=20180719&amp;n=pt45.1.46&amp;r=PART&amp;ty=HTML</vt:lpwstr>
      </vt:variant>
      <vt:variant>
        <vt:lpwstr>se45.1.46_1110</vt:lpwstr>
      </vt:variant>
      <vt:variant>
        <vt:i4>4784154</vt:i4>
      </vt:variant>
      <vt:variant>
        <vt:i4>3</vt:i4>
      </vt:variant>
      <vt:variant>
        <vt:i4>0</vt:i4>
      </vt:variant>
      <vt:variant>
        <vt:i4>5</vt:i4>
      </vt:variant>
      <vt:variant>
        <vt:lpwstr>https://www.hhs.gov/ohrp/regulations-and-policy/regulations/45-cfr-46/index.html</vt:lpwstr>
      </vt:variant>
      <vt:variant>
        <vt:lpwstr/>
      </vt:variant>
      <vt:variant>
        <vt:i4>6815836</vt:i4>
      </vt:variant>
      <vt:variant>
        <vt:i4>0</vt:i4>
      </vt:variant>
      <vt:variant>
        <vt:i4>0</vt:i4>
      </vt:variant>
      <vt:variant>
        <vt:i4>5</vt:i4>
      </vt:variant>
      <vt:variant>
        <vt:lpwstr>https://www.ecfr.gov/cgi-bin/retrieveECFR?gp=&amp;SID=83cd09e1c0f5c6937cd9d7513160fc3f&amp;pitd=20180719&amp;n=pt45.1.46&amp;r=PART&amp;ty=HTML</vt:lpwstr>
      </vt:variant>
      <vt:variant>
        <vt:lpwstr>se45.1.46_1104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Health</dc:title>
  <dc:subject/>
  <dc:creator>Buschjost, Mary</dc:creator>
  <cp:keywords/>
  <dc:description/>
  <cp:lastModifiedBy>Parker, Dawn</cp:lastModifiedBy>
  <cp:revision>12</cp:revision>
  <cp:lastPrinted>2010-02-03T14:35:00Z</cp:lastPrinted>
  <dcterms:created xsi:type="dcterms:W3CDTF">2020-10-02T16:40:00Z</dcterms:created>
  <dcterms:modified xsi:type="dcterms:W3CDTF">2024-11-19T19:29:00Z</dcterms:modified>
</cp:coreProperties>
</file>